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615A6">
      <w:pPr>
        <w:pStyle w:val="15"/>
        <w:widowControl/>
      </w:pPr>
      <mc:AlternateContent>
        <mc:Choice Requires="wpsCustomData">
          <wpsCustomData:docfieldStart id="0" docfieldname="标题_1" hidden="0" print="1" readonly="0" index="1"/>
        </mc:Choice>
      </mc:AlternateContent>
      <w:r>
        <w:t>宁河现代产业区某经贸公司“2・19”一般车辆伤害事故防范和整改措施落实情况评估报告</w:t>
      </w:r>
      <mc:AlternateContent>
        <mc:Choice Requires="wpsCustomData">
          <wpsCustomData:docfieldEnd id="0"/>
        </mc:Choice>
      </mc:AlternateContent>
    </w:p>
    <w:p w14:paraId="2E058515">
      <w:pPr>
        <w:pStyle w:val="11"/>
        <w:bidi w:val="0"/>
        <w:spacing w:beforeAutospacing="0" w:afterAutospacing="0" w:line="300" w:lineRule="exact"/>
        <w:rPr>
          <w:rFonts w:hint="eastAsia"/>
          <w:lang w:eastAsia="zh-CN"/>
        </w:rPr>
      </w:pPr>
    </w:p>
    <w:p w14:paraId="258A8A67">
      <w:pPr>
        <w:pStyle w:val="2"/>
        <w:widowControl/>
        <w:numPr>
          <w:ilvl w:val="0"/>
          <w:numId w:val="0"/>
        </w:numPr>
        <w:topLinePunct w:val="0"/>
        <w:ind w:left="0" w:leftChars="0" w:firstLine="640"/>
        <w:rPr>
          <w:b w:val="0"/>
        </w:rPr>
      </w:pPr>
      <w:r>
        <w:rPr>
          <w:rFonts w:hint="eastAsia"/>
          <w:lang w:eastAsia="zh-CN"/>
        </w:rPr>
        <w:t>一、</w:t>
      </w:r>
      <w:r>
        <w:t>评估目的</w:t>
      </w:r>
    </w:p>
    <w:p w14:paraId="65F89886">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为深入贯彻落实习近平总书记关于安全生产的重要指示批示精神，认真落实市委、市政府和区委、区政府关于做好安全生产工作的部署要求，充分发挥事故调查处理对加强和改进安全生产工作的促进作用，全面掌握事故发生单位及有关部门落实事故责任追究、事故防范和整改措施落实情况、采取的具体举措以及工作成效，深刻吸取事故教训，充分发挥事故惩戒和警示作用，从根本上消除事故隐患、从根本上解决存在问题，以事故调查评估促进本地区安全生产工作。</w:t>
      </w:r>
    </w:p>
    <w:p w14:paraId="113FDD99">
      <w:pPr>
        <w:pStyle w:val="2"/>
        <w:widowControl/>
        <w:numPr>
          <w:ilvl w:val="0"/>
          <w:numId w:val="0"/>
        </w:numPr>
        <w:topLinePunct w:val="0"/>
        <w:ind w:left="0" w:leftChars="0" w:firstLine="640"/>
        <w:rPr>
          <w:b w:val="0"/>
        </w:rPr>
      </w:pPr>
      <w:r>
        <w:rPr>
          <w:rFonts w:hint="eastAsia"/>
          <w:lang w:eastAsia="zh-CN"/>
        </w:rPr>
        <w:t>二、</w:t>
      </w:r>
      <w:r>
        <w:t>评估依据及职责分工</w:t>
      </w:r>
    </w:p>
    <w:p w14:paraId="0057C61B">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依据《宁河现代产业区某经贸公司“2・19”一般车辆伤害事故调查报告》和《中共天津市委天津市人民政府关于推进安全生产领域改革发展的实施意见》《生产安全事故防范和整改措施落实情况评估办法》和《市安委会办公室关于印发〈天津市生产安全事故防范和整改措施落实情况评估办法〉的通知》（津安办〔2022〕20号）规定，区应急局牵头成立宁河现代产业区某经贸公司“2・19”一般车辆伤害事故评估组（以下简称事故评估组），对事故责任追究和整改措施落实情况进行评估。评估组由区应急管理局、公安宁河分局、区市场监管局、区总工会、现代产业区管委会等单位组成，邀请区纪委监委、区检察院派员参加。具体分工如下：</w:t>
      </w:r>
    </w:p>
    <w:p w14:paraId="53AD8786">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一）区应急管理局负责收集相关部门、事故单位依据区政府批复，对单位、人员处理及整改措施的落实情况；组织拟写评估报告，及时向社会全文公开发布。（二）公安宁河分局负责递交事故相关责任人员刑事责任追究情况；参与拟写评估报告。（三）区市场监管局负责递交本行业落实区政府批复中相关行政处理及整改措施的落实情况；参与拟写评估报告。（四）区总工会负责监督整改措施落实、职工劳动保护等情况；参与拟写评估报告。（五）现代产业区管委会负责递交本地区落实区政府批复中相关行政处理及整改措施的落实情况；协调相关事故单位配合现场核查工作；参与拟写评估报告。</w:t>
      </w:r>
    </w:p>
    <w:p w14:paraId="4A079D7D">
      <w:pPr>
        <w:pStyle w:val="2"/>
        <w:widowControl/>
        <w:numPr>
          <w:ilvl w:val="0"/>
          <w:numId w:val="0"/>
        </w:numPr>
        <w:topLinePunct w:val="0"/>
        <w:ind w:left="0" w:leftChars="0" w:firstLine="640"/>
        <w:rPr>
          <w:b w:val="0"/>
        </w:rPr>
      </w:pPr>
      <w:r>
        <w:rPr>
          <w:rFonts w:hint="eastAsia"/>
          <w:lang w:eastAsia="zh-CN"/>
        </w:rPr>
        <w:t>三、</w:t>
      </w:r>
      <w:r>
        <w:t>事故调查处理情况</w:t>
      </w:r>
    </w:p>
    <w:p w14:paraId="6DCB1EAD">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事故发生时，有报警、接警信息传送、联动、启动现场应急救援；事故发生后经过区政府批准成立事故调查组，按照职责分工进行调查取证，派员到现场勘查，进行物证提取、收集资料，并对相关人员进行询问笔录。调查组成员开会讨论研究分析事故发生的原因，确定事故性质、责任人员和责任单位，追究事故责任，并吸取事故教训提出事故整改防范措施，形成事故调查报告。将事故调查报告提交给本级人民政府批复，对相关责任人员和单位依法处理，落实整改防范措施，最后结案归档。</w:t>
      </w:r>
    </w:p>
    <w:p w14:paraId="69572EBB">
      <w:pPr>
        <w:pStyle w:val="2"/>
        <w:widowControl/>
        <w:numPr>
          <w:ilvl w:val="0"/>
          <w:numId w:val="0"/>
        </w:numPr>
        <w:topLinePunct w:val="0"/>
        <w:ind w:left="0" w:leftChars="0" w:firstLine="640"/>
        <w:rPr>
          <w:b w:val="0"/>
        </w:rPr>
      </w:pPr>
      <w:r>
        <w:rPr>
          <w:rFonts w:hint="eastAsia"/>
          <w:lang w:eastAsia="zh-CN"/>
        </w:rPr>
        <w:t>四、</w:t>
      </w:r>
      <w:r>
        <w:t>评估部署工作</w:t>
      </w:r>
    </w:p>
    <w:p w14:paraId="6790602C">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区应急管理局牵头公安宁河分局、区市场监管局、区总工会和现代产业区管委会组成了事故评估组，并邀请区纪委监委、区检察院参加评估工作。评估组以《事故调查报告》为依据，按照“四不放过”和科学严谨、依法依规、实事求是、注重实效的原则，制定了工作方案。评估组分别前往现代产业区管委会和某经贸公司天津库房进行现场评估，通过现场勘查、查阅文档、询问有关人员等方式了解了相关单位在事故发生后整改措施落实情况，并收集了相关资料，完成了评估工作。</w:t>
      </w:r>
    </w:p>
    <w:p w14:paraId="1576C08D">
      <w:pPr>
        <w:pStyle w:val="2"/>
        <w:widowControl/>
        <w:numPr>
          <w:ilvl w:val="0"/>
          <w:numId w:val="0"/>
        </w:numPr>
        <w:topLinePunct w:val="0"/>
        <w:ind w:left="0" w:leftChars="0" w:firstLine="640"/>
        <w:rPr>
          <w:b w:val="0"/>
        </w:rPr>
      </w:pPr>
      <w:r>
        <w:rPr>
          <w:rFonts w:hint="eastAsia"/>
          <w:lang w:eastAsia="zh-CN"/>
        </w:rPr>
        <w:t>五、</w:t>
      </w:r>
      <w:r>
        <w:t>评估事项及结论</w:t>
      </w:r>
    </w:p>
    <w:p w14:paraId="1993ECA3">
      <w:pPr>
        <w:pStyle w:val="3"/>
        <w:widowControl/>
        <w:numPr>
          <w:ilvl w:val="0"/>
          <w:numId w:val="0"/>
        </w:numPr>
        <w:topLinePunct w:val="0"/>
        <w:ind w:left="0" w:leftChars="0" w:firstLine="640"/>
        <w:rPr>
          <w:rFonts w:hint="eastAsia" w:ascii="楷体_GB2312" w:hAnsi="楷体_GB2312" w:eastAsia="楷体_GB2312" w:cs="楷体_GB2312"/>
          <w:b w:val="0"/>
        </w:rPr>
      </w:pPr>
      <w:r>
        <w:rPr>
          <w:rFonts w:hint="eastAsia"/>
          <w:lang w:eastAsia="zh-CN"/>
        </w:rPr>
        <w:t>（一）</w:t>
      </w:r>
      <w:r>
        <w:t>行政处罚落实情况</w:t>
      </w:r>
    </w:p>
    <w:p w14:paraId="46070E16">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落实情况：对某经贸公司55万元罚款已下达处罚决定；对某经贸公司天津库房经理周某某2024年度年收入百分之四十罚款已下达处罚决定；货车司机王某某已由公安宁河分局依法依规立案调查；</w:t>
      </w:r>
      <w:bookmarkStart w:id="0" w:name="_GoBack"/>
      <w:bookmarkEnd w:id="0"/>
      <w:r>
        <w:rPr>
          <w:rFonts w:ascii="Times New Roman" w:hAnsi="Times New Roman" w:eastAsia="仿宋_GB2312" w:cs="仿宋_GB2312"/>
          <w:color w:val="1F2329"/>
          <w:sz w:val="32"/>
          <w:szCs w:val="32"/>
        </w:rPr>
        <w:t>评估结论：对某经贸公司、周某某的行政处罚及相关人员责任追究已落实。</w:t>
      </w:r>
    </w:p>
    <w:p w14:paraId="77E735A6">
      <w:pPr>
        <w:pStyle w:val="3"/>
        <w:widowControl/>
        <w:numPr>
          <w:ilvl w:val="0"/>
          <w:numId w:val="0"/>
        </w:numPr>
        <w:topLinePunct w:val="0"/>
        <w:ind w:left="0" w:leftChars="0" w:firstLine="640"/>
        <w:rPr>
          <w:rFonts w:hint="eastAsia" w:ascii="楷体_GB2312" w:hAnsi="楷体_GB2312" w:eastAsia="楷体_GB2312" w:cs="楷体_GB2312"/>
          <w:b w:val="0"/>
        </w:rPr>
      </w:pPr>
      <w:r>
        <w:rPr>
          <w:rFonts w:hint="eastAsia"/>
          <w:lang w:eastAsia="zh-CN"/>
        </w:rPr>
        <w:t>（二）</w:t>
      </w:r>
      <w:r>
        <w:t>事故防范和整改措施落实情况</w:t>
      </w:r>
    </w:p>
    <w:p w14:paraId="1656F642">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1</w:t>
      </w:r>
      <w:r>
        <w:rPr>
          <w:rFonts w:hint="eastAsia" w:cs="仿宋_GB2312"/>
          <w:color w:val="1F2329"/>
          <w:sz w:val="32"/>
          <w:szCs w:val="32"/>
          <w:lang w:val="en-US" w:eastAsia="zh-CN"/>
        </w:rPr>
        <w:t>.</w:t>
      </w:r>
      <w:r>
        <w:rPr>
          <w:rFonts w:ascii="Times New Roman" w:hAnsi="Times New Roman" w:eastAsia="仿宋_GB2312" w:cs="仿宋_GB2312"/>
          <w:color w:val="1F2329"/>
          <w:sz w:val="32"/>
          <w:szCs w:val="32"/>
        </w:rPr>
        <w:t>某经贸公司：事故发生后，该公司立即组织天津库房全体员工召开警示教育大会，吸取事故教训，举一反三，认真落实《中华人民共和国安全生产法》《天津市生产经营单位安全生产主体责任规定》等法律法规要求，健全天津库房安全风险分级管控和隐患排查治理双重预防工作机制，对卸货作业、叉车作业、车辆衔接等环节开展全方位风险辨识，完善风险公告与防控措施；建立库房生产安全事故隐患排查治理制度，修订作业区隐患排查清单，规范岗位排查职责；强化从业人员安全教育培训，制定并实施专项培训计划，重点加强叉车操作、卸货流程、车辆联动、劳动防护用品佩戴等内容培训；指派专人对卸货作业实行统一协调管理，严格执行车辆启动确认程序，形成隐患排查整改闭环管理，坚决杜绝违章违规作业。</w:t>
      </w:r>
    </w:p>
    <w:p w14:paraId="243EBD47">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2</w:t>
      </w:r>
      <w:r>
        <w:rPr>
          <w:rFonts w:hint="eastAsia" w:cs="仿宋_GB2312"/>
          <w:color w:val="1F2329"/>
          <w:sz w:val="32"/>
          <w:szCs w:val="32"/>
          <w:lang w:val="en-US" w:eastAsia="zh-CN"/>
        </w:rPr>
        <w:t>.</w:t>
      </w:r>
      <w:r>
        <w:rPr>
          <w:rFonts w:ascii="Times New Roman" w:hAnsi="Times New Roman" w:eastAsia="仿宋_GB2312" w:cs="仿宋_GB2312"/>
          <w:color w:val="1F2329"/>
          <w:spacing w:val="0"/>
          <w:kern w:val="0"/>
          <w:sz w:val="32"/>
          <w:szCs w:val="32"/>
          <w:fitText w:val="2561" w:id="1825191500"/>
        </w:rPr>
        <w:t>现代产业区管委会</w:t>
      </w:r>
      <w:r>
        <w:rPr>
          <w:rFonts w:ascii="Times New Roman" w:hAnsi="Times New Roman" w:eastAsia="仿宋_GB2312" w:cs="仿宋_GB2312"/>
          <w:color w:val="1F2329"/>
          <w:sz w:val="32"/>
          <w:szCs w:val="32"/>
        </w:rPr>
        <w:t>：深入学习贯彻习近平总书记重要指示批示精神，坚持人民至上、生命至上，深刻汲取事故惨痛教训，召开事故警示专题会议，压实属地安全监管责任；将事故情况通报辖区各类生产经营单位，督促企业严格落实安全生产主体责任，深化安全风险分级管控与隐患排查治理；持续宣贯工贸企业安全生产“十项禁令”，强化从业人员安全意识，从源头防范违规作业行为，全面筑牢辖区安全生产防线。</w:t>
      </w:r>
    </w:p>
    <w:p w14:paraId="69EFCD0A">
      <w:pPr>
        <w:pStyle w:val="11"/>
        <w:widowControl/>
        <w:pBdr>
          <w:top w:val="none" w:color="auto" w:sz="0" w:space="0"/>
          <w:left w:val="none" w:color="auto" w:sz="0" w:space="0"/>
          <w:bottom w:val="none" w:color="auto" w:sz="0" w:space="0"/>
          <w:right w:val="none" w:color="auto" w:sz="0" w:space="0"/>
        </w:pBdr>
        <w:ind w:left="3388" w:hanging="2772" w:firstLineChars="0"/>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评估结论</w:t>
      </w:r>
      <w:r>
        <w:rPr>
          <w:rFonts w:ascii="Times New Roman" w:hAnsi="Times New Roman" w:eastAsia="仿宋_GB2312" w:cs="仿宋_GB2312"/>
          <w:color w:val="1F2329"/>
          <w:sz w:val="32"/>
          <w:szCs w:val="32"/>
        </w:rPr>
        <w:t>：各相关单位对事故调查报告中的事故防范和整改措施已落实。</w:t>
      </w:r>
    </w:p>
    <w:p w14:paraId="36135FA0"/>
    <w:p w14:paraId="745F27EF">
      <w:pPr>
        <w:pStyle w:val="11"/>
        <w:bidi w:val="0"/>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start="1"/>
      <w:cols w:space="425" w:num="1"/>
      <w:docGrid w:type="linesAndChars" w:linePitch="579"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F0E68">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65BEEF">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5B65BEEF">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51124">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B9D1EB">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c3nUujgCAABrBAAADgAAAAAAAAABACAAAAAlAQAAZHJzL2Uy&#10;b0RvYy54bWxQSwUGAAAAAAYABgBZAQAAzwUAAAAA&#10;">
              <v:fill on="f" focussize="0,0"/>
              <v:stroke on="f" weight="0.5pt"/>
              <v:imagedata o:title=""/>
              <o:lock v:ext="edit" aspectratio="f"/>
              <v:textbox inset="16pt,0mm,16pt,0mm" style="mso-fit-shape-to-text:t;">
                <w:txbxContent>
                  <w:p w14:paraId="35B9D1EB">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53FA4">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40856">
    <w:pPr>
      <w:pStyle w:val="1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evenAndOddHeaders w:val="1"/>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486E9D"/>
    <w:rsid w:val="4FB17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officialmode val="1"/>
    </mc:Choice>
  </mc:AlternateContent>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keepLines/>
      <w:spacing w:beforeLines="0" w:beforeAutospacing="0" w:afterLines="0" w:afterAutospacing="0" w:line="560" w:lineRule="exact"/>
      <w:ind w:firstLine="894" w:firstLineChars="200"/>
      <w:outlineLvl w:val="0"/>
    </w:pPr>
    <w:rPr>
      <w:rFonts w:ascii="黑体" w:hAnsi="黑体" w:eastAsia="黑体" w:cs="黑体"/>
      <w:kern w:val="44"/>
      <w:sz w:val="32"/>
      <w:szCs w:val="32"/>
    </w:rPr>
  </w:style>
  <w:style w:type="paragraph" w:styleId="3">
    <w:name w:val="heading 2"/>
    <w:next w:val="1"/>
    <w:unhideWhenUsed/>
    <w:qFormat/>
    <w:uiPriority w:val="0"/>
    <w:pPr>
      <w:keepNext/>
      <w:keepLines/>
      <w:spacing w:beforeLines="0" w:beforeAutospacing="0" w:afterLines="0" w:afterAutospacing="0" w:line="560" w:lineRule="exact"/>
      <w:ind w:firstLine="894" w:firstLineChars="200"/>
      <w:outlineLvl w:val="1"/>
    </w:pPr>
    <w:rPr>
      <w:rFonts w:ascii="Times New Roman" w:hAnsi="Times New Roman" w:eastAsia="楷体_GB2312" w:cs="楷体_GB2312"/>
      <w:sz w:val="32"/>
      <w:szCs w:val="32"/>
    </w:rPr>
  </w:style>
  <w:style w:type="paragraph" w:styleId="4">
    <w:name w:val="heading 3"/>
    <w:next w:val="1"/>
    <w:semiHidden/>
    <w:unhideWhenUsed/>
    <w:qFormat/>
    <w:uiPriority w:val="0"/>
    <w:pPr>
      <w:keepNext/>
      <w:keepLines/>
      <w:spacing w:beforeLines="0" w:beforeAutospacing="0" w:afterLines="0" w:afterAutospacing="0" w:line="560" w:lineRule="exact"/>
      <w:ind w:firstLine="894" w:firstLineChars="200"/>
      <w:outlineLvl w:val="2"/>
    </w:pPr>
    <w:rPr>
      <w:rFonts w:ascii="Times New Roman" w:hAnsi="Times New Roman" w:eastAsia="仿宋_GB2312" w:cs="仿宋_GB2312"/>
      <w:sz w:val="32"/>
      <w:szCs w:val="32"/>
    </w:rPr>
  </w:style>
  <w:style w:type="paragraph" w:styleId="5">
    <w:name w:val="heading 4"/>
    <w:next w:val="1"/>
    <w:semiHidden/>
    <w:unhideWhenUsed/>
    <w:qFormat/>
    <w:uiPriority w:val="0"/>
    <w:pPr>
      <w:keepNext/>
      <w:keepLines/>
      <w:spacing w:beforeLines="0" w:beforeAutospacing="0" w:afterLines="0" w:afterAutospacing="0" w:line="560" w:lineRule="exact"/>
      <w:ind w:firstLine="894" w:firstLineChars="200"/>
      <w:outlineLvl w:val="3"/>
    </w:pPr>
    <w:rPr>
      <w:rFonts w:ascii="Times New Roman" w:hAnsi="Times New Roman" w:eastAsia="仿宋_GB2312" w:cs="仿宋_GB2312"/>
      <w:sz w:val="32"/>
      <w:szCs w:val="32"/>
    </w:rPr>
  </w:style>
  <w:style w:type="paragraph" w:styleId="6">
    <w:name w:val="heading 5"/>
    <w:next w:val="1"/>
    <w:semiHidden/>
    <w:unhideWhenUsed/>
    <w:qFormat/>
    <w:uiPriority w:val="0"/>
    <w:pPr>
      <w:spacing w:line="560" w:lineRule="exact"/>
      <w:ind w:firstLine="894" w:firstLineChars="200"/>
      <w:outlineLvl w:val="4"/>
    </w:pPr>
    <w:rPr>
      <w:rFonts w:ascii="Times New Roman" w:hAnsi="Times New Roman" w:eastAsia="仿宋_GB2312" w:cs="仿宋_GB2312"/>
      <w:sz w:val="32"/>
      <w:szCs w:val="32"/>
    </w:rPr>
  </w:style>
  <w:style w:type="paragraph" w:styleId="7">
    <w:name w:val="heading 6"/>
    <w:next w:val="1"/>
    <w:semiHidden/>
    <w:unhideWhenUsed/>
    <w:qFormat/>
    <w:uiPriority w:val="0"/>
    <w:pPr>
      <w:spacing w:line="560" w:lineRule="exact"/>
      <w:ind w:firstLine="894" w:firstLineChars="200"/>
      <w:outlineLvl w:val="5"/>
    </w:pPr>
    <w:rPr>
      <w:rFonts w:ascii="Times New Roman" w:hAnsi="Times New Roman" w:eastAsia="仿宋_GB2312" w:cs="仿宋_GB2312"/>
      <w:sz w:val="32"/>
      <w:szCs w:val="32"/>
    </w:rPr>
  </w:style>
  <w:style w:type="paragraph" w:styleId="8">
    <w:name w:val="heading 7"/>
    <w:next w:val="1"/>
    <w:semiHidden/>
    <w:unhideWhenUsed/>
    <w:qFormat/>
    <w:uiPriority w:val="0"/>
    <w:pPr>
      <w:spacing w:line="560" w:lineRule="exact"/>
      <w:ind w:firstLine="894" w:firstLineChars="200"/>
      <w:outlineLvl w:val="6"/>
    </w:pPr>
    <w:rPr>
      <w:rFonts w:ascii="Times New Roman" w:hAnsi="Times New Roman" w:eastAsia="仿宋_GB2312" w:cs="仿宋_GB2312"/>
      <w:sz w:val="32"/>
      <w:szCs w:val="32"/>
    </w:rPr>
  </w:style>
  <w:style w:type="paragraph" w:styleId="9">
    <w:name w:val="heading 8"/>
    <w:next w:val="1"/>
    <w:semiHidden/>
    <w:unhideWhenUsed/>
    <w:qFormat/>
    <w:uiPriority w:val="0"/>
    <w:pPr>
      <w:spacing w:line="560" w:lineRule="exact"/>
      <w:ind w:firstLine="894" w:firstLineChars="200"/>
      <w:outlineLvl w:val="7"/>
    </w:pPr>
    <w:rPr>
      <w:rFonts w:ascii="Times New Roman" w:hAnsi="Times New Roman" w:eastAsia="仿宋_GB2312" w:cs="仿宋_GB2312"/>
      <w:sz w:val="32"/>
      <w:szCs w:val="32"/>
    </w:rPr>
  </w:style>
  <w:style w:type="paragraph" w:styleId="10">
    <w:name w:val="heading 9"/>
    <w:next w:val="1"/>
    <w:semiHidden/>
    <w:unhideWhenUsed/>
    <w:qFormat/>
    <w:uiPriority w:val="0"/>
    <w:pPr>
      <w:spacing w:line="560" w:lineRule="exact"/>
      <w:ind w:firstLine="894" w:firstLineChars="200"/>
      <w:outlineLvl w:val="8"/>
    </w:pPr>
    <w:rPr>
      <w:rFonts w:ascii="Times New Roman" w:hAnsi="Times New Roman" w:eastAsia="仿宋_GB2312" w:cs="仿宋_GB2312"/>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Body Text"/>
    <w:uiPriority w:val="0"/>
    <w:pPr>
      <w:spacing w:line="560" w:lineRule="exact"/>
      <w:ind w:firstLine="630" w:firstLineChars="200"/>
      <w:jc w:val="both"/>
    </w:pPr>
    <w:rPr>
      <w:rFonts w:ascii="Times New Roman" w:hAnsi="Times New Roman" w:eastAsia="仿宋_GB2312" w:cs="仿宋_GB2312"/>
      <w:spacing w:val="-6"/>
      <w:sz w:val="32"/>
      <w:szCs w:val="32"/>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Subtitle"/>
    <w:qFormat/>
    <w:uiPriority w:val="0"/>
    <w:pPr>
      <w:spacing w:beforeLines="0" w:beforeAutospacing="0" w:afterLines="0" w:afterAutospacing="0" w:line="720" w:lineRule="exact"/>
      <w:jc w:val="center"/>
      <w:outlineLvl w:val="9"/>
    </w:pPr>
    <w:rPr>
      <w:rFonts w:ascii="Times New Roman" w:hAnsi="Times New Roman" w:eastAsia="仿宋_GB2312" w:cs="仿宋_GB2312"/>
      <w:kern w:val="28"/>
      <w:sz w:val="32"/>
      <w:szCs w:val="32"/>
    </w:rPr>
  </w:style>
  <w:style w:type="paragraph" w:styleId="15">
    <w:name w:val="Title"/>
    <w:qFormat/>
    <w:uiPriority w:val="0"/>
    <w:pPr>
      <w:spacing w:line="720" w:lineRule="exact"/>
      <w:jc w:val="center"/>
      <w:outlineLvl w:val="9"/>
    </w:pPr>
    <w:rPr>
      <w:rFonts w:ascii="方正小标宋简体" w:hAnsi="方正小标宋简体" w:eastAsia="方正小标宋简体" w:cs="方正小标宋简体"/>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1971</Words>
  <Characters>1988</Characters>
  <Lines>0</Lines>
  <Paragraphs>0</Paragraphs>
  <TotalTime>122</TotalTime>
  <ScaleCrop>false</ScaleCrop>
  <LinksUpToDate>false</LinksUpToDate>
  <CharactersWithSpaces>1988</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2026-04-16T07:35:00Z</dcterms:created>
  <dc:creator>ROG</dc:creator>
  <cp:lastModifiedBy>曾嘉 15332140501</cp:lastModifiedBy>
  <dcterms:modified xsi:type="dcterms:W3CDTF">2026-04-21T06:14:34Z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eyJoZGlkIjoiZWFmYTcyMmNlZDcwOTM0ZDY5MjhmMTU2MzJkMGVjNDQiLCJ1c2VySWQiOiIxNTI5MTk0NDM4In0=</vt:lpwstr>
  </property>
  <property fmtid="{D5CDD505-2E9C-101B-9397-08002B2CF9AE}" pid="4" name="ICV">
    <vt:lpwstr>EE6D7433C19E4298B6E724DFA82A2737_12</vt:lpwstr>
  </property>
</Properties>
</file>