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B8F497">
      <w:pPr>
        <w:pStyle w:val="15"/>
        <w:widowControl/>
      </w:pPr>
      <mc:AlternateContent>
        <mc:Choice Requires="wpsCustomData">
          <wpsCustomData:docfieldStart id="0" docfieldname="标题_1" hidden="0" print="1" readonly="0" index="1"/>
        </mc:Choice>
      </mc:AlternateContent>
      <w:r>
        <w:t>宁河东棘坨天津伟能新能源杨宇庄村渔光互补项目“6・8”一般淹溺事故防范和整改措施落实情况评估报告</w:t>
      </w:r>
      <mc:AlternateContent>
        <mc:Choice Requires="wpsCustomData">
          <wpsCustomData:docfieldEnd id="0"/>
        </mc:Choice>
      </mc:AlternateContent>
    </w:p>
    <w:p w14:paraId="14BEBBDC">
      <w:pPr>
        <w:pStyle w:val="11"/>
        <w:bidi w:val="0"/>
        <w:spacing w:beforeAutospacing="0" w:afterAutospacing="0" w:line="300" w:lineRule="exact"/>
        <w:rPr>
          <w:rFonts w:hint="eastAsia"/>
          <w:lang w:eastAsia="zh-CN"/>
        </w:rPr>
      </w:pPr>
    </w:p>
    <w:p w14:paraId="62E9479B">
      <w:pPr>
        <w:pStyle w:val="2"/>
        <w:widowControl/>
        <w:numPr>
          <w:ilvl w:val="0"/>
          <w:numId w:val="0"/>
        </w:numPr>
        <w:topLinePunct w:val="0"/>
        <w:ind w:left="0" w:leftChars="0" w:firstLine="640"/>
        <w:rPr>
          <w:b w:val="0"/>
        </w:rPr>
      </w:pPr>
      <w:r>
        <w:rPr>
          <w:rFonts w:hint="eastAsia"/>
          <w:lang w:eastAsia="zh-CN"/>
        </w:rPr>
        <w:t>一、</w:t>
      </w:r>
      <w:r>
        <w:t>评估目的</w:t>
      </w:r>
    </w:p>
    <w:p w14:paraId="036C74FB">
      <w:pPr>
        <w:pStyle w:val="11"/>
        <w:widowControl/>
        <w:pBdr>
          <w:top w:val="none" w:color="auto" w:sz="0" w:space="0"/>
          <w:left w:val="none" w:color="auto" w:sz="0" w:space="0"/>
          <w:bottom w:val="none" w:color="auto" w:sz="0" w:space="0"/>
          <w:right w:val="none" w:color="auto" w:sz="0" w:space="0"/>
        </w:pBdr>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为深入贯彻落实习近平总书记关于安全生产的重要指示批示精神，认真落实市委、市政府和区委、区政府关于做好安全生产工作的部署要求，充分发挥事故调查处理对加强和改进安全生产工作的促进作用，全面掌握事故发生单位及有关部门落实事故责任追究、事故防范和整改措施落实情况、采取的具体举措以及工作成效，深刻吸取事故教训，充分发挥事故惩戒和警示作用，从根本上消除事故隐患、从根本上解决存在问题，以事故调查评估促进本地区安全生产工作。</w:t>
      </w:r>
    </w:p>
    <w:p w14:paraId="130B51A2">
      <w:pPr>
        <w:pStyle w:val="2"/>
        <w:widowControl/>
        <w:numPr>
          <w:ilvl w:val="0"/>
          <w:numId w:val="0"/>
        </w:numPr>
        <w:topLinePunct w:val="0"/>
        <w:ind w:left="0" w:leftChars="0" w:firstLine="640"/>
        <w:rPr>
          <w:b w:val="0"/>
        </w:rPr>
      </w:pPr>
      <w:r>
        <w:rPr>
          <w:rFonts w:hint="eastAsia"/>
          <w:lang w:eastAsia="zh-CN"/>
        </w:rPr>
        <w:t>二、</w:t>
      </w:r>
      <w:r>
        <w:t>评估依据及职责分工</w:t>
      </w:r>
    </w:p>
    <w:p w14:paraId="5E00B971">
      <w:pPr>
        <w:pStyle w:val="11"/>
        <w:widowControl/>
        <w:pBdr>
          <w:top w:val="none" w:color="auto" w:sz="0" w:space="0"/>
          <w:left w:val="none" w:color="auto" w:sz="0" w:space="0"/>
          <w:bottom w:val="none" w:color="auto" w:sz="0" w:space="0"/>
          <w:right w:val="none" w:color="auto" w:sz="0" w:space="0"/>
        </w:pBdr>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依据《宁河东棘坨天津伟能新能源杨宇庄村渔光互补项目“6・8”一般淹溺事故调查报告》和《中共天津市委天津市人民政府关于推进安全生产领域改革发展的实施意见》《生产安全事故防范和整改措施落实情况评估办法》和《市安委会办公室关于印发〈天津市生产安全事故防范和整改措施落实情况评估办法〉的通知》（津安办〔2022〕20号）规定，区应急局牵头成立宁河东棘坨天津伟能新能源杨宇庄村渔光互补项目“6・8”一般淹溺事故评估组（以下简称事故评估组），对事故责任追究和整改措施落实情况进行评估。评估组由区应急管理局、公安宁河分局、区总工会、区发改委、东棘坨镇人民政府等单位组成，邀请区纪委监委、区检察院派员参加。具体分工如下：</w:t>
      </w:r>
    </w:p>
    <w:p w14:paraId="59A7BEC2">
      <w:pPr>
        <w:pStyle w:val="11"/>
        <w:widowControl/>
        <w:pBdr>
          <w:top w:val="none" w:color="auto" w:sz="0" w:space="0"/>
          <w:left w:val="none" w:color="auto" w:sz="0" w:space="0"/>
          <w:bottom w:val="none" w:color="auto" w:sz="0" w:space="0"/>
          <w:right w:val="none" w:color="auto" w:sz="0" w:space="0"/>
        </w:pBdr>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一）区应急管理局负责收集相关部门、事故单位依据区政府批复，对单位、人员处理及整改措施的落实情况；组织拟写评估报告，及时向社会全文公开发布。（二）公安宁河分局负责递交事故相关责任人员刑事责任追究情况；参与拟写评估报告。（三）区发改委负责递交本行业落实区政府批复中相关行政处理及整改措施的落实情况；参与拟写评估报告。（四）区总工会负责监督整改措施落实、职工劳动保护等情况；参与拟写评估报告。（五）东棘坨镇人民政府负责递交本地区落实区政府批复中相关行政处理及整改措施的落实情况；协调相关事故单位配合现场核查工作；参与拟写评估报告。</w:t>
      </w:r>
    </w:p>
    <w:p w14:paraId="5A7A7613">
      <w:pPr>
        <w:pStyle w:val="2"/>
        <w:widowControl/>
        <w:numPr>
          <w:ilvl w:val="0"/>
          <w:numId w:val="0"/>
        </w:numPr>
        <w:topLinePunct w:val="0"/>
        <w:ind w:left="0" w:leftChars="0" w:firstLine="640"/>
        <w:rPr>
          <w:b w:val="0"/>
        </w:rPr>
      </w:pPr>
      <w:r>
        <w:rPr>
          <w:rFonts w:hint="eastAsia"/>
          <w:lang w:eastAsia="zh-CN"/>
        </w:rPr>
        <w:t>三、</w:t>
      </w:r>
      <w:r>
        <w:t>事故调查处理情况</w:t>
      </w:r>
    </w:p>
    <w:p w14:paraId="5E2FD4FF">
      <w:pPr>
        <w:pStyle w:val="11"/>
        <w:widowControl/>
        <w:pBdr>
          <w:top w:val="none" w:color="auto" w:sz="0" w:space="0"/>
          <w:left w:val="none" w:color="auto" w:sz="0" w:space="0"/>
          <w:bottom w:val="none" w:color="auto" w:sz="0" w:space="0"/>
          <w:right w:val="none" w:color="auto" w:sz="0" w:space="0"/>
        </w:pBdr>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事故发生时，有报警、接警信息传送、联动、启动现场应急救援；事故发生后经过区政府批准成立事故调查组，按照职责分工进行调查取证，派员到现场勘查，进行物证提取、收集资料，并对相关人员进行询问笔录。调查组成员开会讨论研究分析事故发生的原因，确定事故性质、责任人员和责任单位，追究事故责任，并吸取事故教训提出事故整改防范措施，形成事故调查报告。将事故调查报告提交给本级人民政府批复，对相关责任人员和单位依法处理，落实整改防范措施，最后结案归档。</w:t>
      </w:r>
    </w:p>
    <w:p w14:paraId="309141E2">
      <w:pPr>
        <w:pStyle w:val="2"/>
        <w:widowControl/>
        <w:numPr>
          <w:ilvl w:val="0"/>
          <w:numId w:val="0"/>
        </w:numPr>
        <w:topLinePunct w:val="0"/>
        <w:ind w:left="0" w:leftChars="0" w:firstLine="640"/>
        <w:rPr>
          <w:b w:val="0"/>
        </w:rPr>
      </w:pPr>
      <w:r>
        <w:rPr>
          <w:rFonts w:hint="eastAsia"/>
          <w:lang w:eastAsia="zh-CN"/>
        </w:rPr>
        <w:t>四、</w:t>
      </w:r>
      <w:r>
        <w:t>评估部署工作</w:t>
      </w:r>
    </w:p>
    <w:p w14:paraId="68D8D475">
      <w:pPr>
        <w:pStyle w:val="11"/>
        <w:widowControl/>
        <w:pBdr>
          <w:top w:val="none" w:color="auto" w:sz="0" w:space="0"/>
          <w:left w:val="none" w:color="auto" w:sz="0" w:space="0"/>
          <w:bottom w:val="none" w:color="auto" w:sz="0" w:space="0"/>
          <w:right w:val="none" w:color="auto" w:sz="0" w:space="0"/>
        </w:pBdr>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区应急管理局牵头公安宁河分局、区总工会、区发改委和东棘坨镇人民政府组成了事故评估组，并邀请区纪委监委、区检察院参加评估工作。评估组以《事故调查报告》为依据，按照“四不放过”和科学严谨、依法依规、实事求是、注重实效的原则，制定了工作方案。评估组分别前往东棘坨镇人民政府和天津伟能新能源科技发展有限公司渔光互补项目施工现场进行现场评估，通过现场勘查、查阅文档、询问有关人员等方式了解了相关单位在事故发生后整改措施落实情况，并收集了相关资料，完成了评估工作。</w:t>
      </w:r>
    </w:p>
    <w:p w14:paraId="5A6861A6">
      <w:pPr>
        <w:pStyle w:val="2"/>
        <w:widowControl/>
        <w:numPr>
          <w:ilvl w:val="0"/>
          <w:numId w:val="0"/>
        </w:numPr>
        <w:topLinePunct w:val="0"/>
        <w:ind w:left="0" w:leftChars="0" w:firstLine="640"/>
        <w:rPr>
          <w:b w:val="0"/>
        </w:rPr>
      </w:pPr>
      <w:r>
        <w:rPr>
          <w:rFonts w:hint="eastAsia"/>
          <w:lang w:eastAsia="zh-CN"/>
        </w:rPr>
        <w:t>五、</w:t>
      </w:r>
      <w:r>
        <w:t>评估事项及结论</w:t>
      </w:r>
    </w:p>
    <w:p w14:paraId="74048445">
      <w:pPr>
        <w:pStyle w:val="3"/>
        <w:widowControl/>
        <w:numPr>
          <w:ilvl w:val="0"/>
          <w:numId w:val="0"/>
        </w:numPr>
        <w:topLinePunct w:val="0"/>
        <w:ind w:left="0" w:leftChars="0" w:firstLine="640"/>
        <w:rPr>
          <w:rFonts w:hint="eastAsia" w:ascii="楷体_GB2312" w:hAnsi="楷体_GB2312" w:eastAsia="楷体_GB2312" w:cs="楷体_GB2312"/>
          <w:b w:val="0"/>
        </w:rPr>
      </w:pPr>
      <w:r>
        <w:rPr>
          <w:rFonts w:hint="eastAsia"/>
          <w:lang w:eastAsia="zh-CN"/>
        </w:rPr>
        <w:t>（一）</w:t>
      </w:r>
      <w:r>
        <w:t>行政处罚落实情况</w:t>
      </w:r>
    </w:p>
    <w:p w14:paraId="0790305E">
      <w:pPr>
        <w:pStyle w:val="11"/>
        <w:widowControl/>
        <w:pBdr>
          <w:top w:val="none" w:color="auto" w:sz="0" w:space="0"/>
          <w:left w:val="none" w:color="auto" w:sz="0" w:space="0"/>
          <w:bottom w:val="none" w:color="auto" w:sz="0" w:space="0"/>
          <w:right w:val="none" w:color="auto" w:sz="0" w:space="0"/>
        </w:pBdr>
        <w:rPr>
          <w:rFonts w:ascii="Times New Roman" w:hAnsi="Times New Roman" w:eastAsia="仿宋_GB2312" w:cs="仿宋_GB2312"/>
          <w:color w:val="1F2329"/>
          <w:sz w:val="32"/>
          <w:szCs w:val="32"/>
        </w:rPr>
      </w:pPr>
      <w:r>
        <w:rPr>
          <w:rFonts w:ascii="Times New Roman" w:hAnsi="Times New Roman" w:eastAsia="仿宋_GB2312" w:cs="仿宋_GB2312"/>
          <w:color w:val="1F2329"/>
          <w:sz w:val="32"/>
          <w:szCs w:val="32"/>
        </w:rPr>
        <w:t>落实情况：对天津伟能新能源科技发展有限公司50万元罚款已下达处罚决定；对该公司项目主要负责人许某某2024年度年收入百分之四十罚款已下达处罚决定；死者王某某已免于责任追究；</w:t>
      </w:r>
      <w:bookmarkStart w:id="0" w:name="_GoBack"/>
      <w:bookmarkEnd w:id="0"/>
      <w:r>
        <w:rPr>
          <w:rFonts w:ascii="Times New Roman" w:hAnsi="Times New Roman" w:eastAsia="仿宋_GB2312" w:cs="仿宋_GB2312"/>
          <w:color w:val="1F2329"/>
          <w:sz w:val="32"/>
          <w:szCs w:val="32"/>
        </w:rPr>
        <w:t>评估结论：对天津伟能新能源科技发展有限公司、许某某的行政处罚及相关人员责任追究已落实。</w:t>
      </w:r>
    </w:p>
    <w:p w14:paraId="0278F0A9">
      <w:pPr>
        <w:pStyle w:val="3"/>
        <w:widowControl/>
        <w:numPr>
          <w:ilvl w:val="0"/>
          <w:numId w:val="0"/>
        </w:numPr>
        <w:topLinePunct w:val="0"/>
        <w:ind w:left="0" w:leftChars="0" w:firstLine="640"/>
        <w:rPr>
          <w:rFonts w:hint="eastAsia" w:ascii="楷体_GB2312" w:hAnsi="楷体_GB2312" w:eastAsia="楷体_GB2312" w:cs="楷体_GB2312"/>
          <w:b w:val="0"/>
        </w:rPr>
      </w:pPr>
      <w:r>
        <w:rPr>
          <w:rFonts w:hint="eastAsia"/>
          <w:lang w:eastAsia="zh-CN"/>
        </w:rPr>
        <w:t>（二）</w:t>
      </w:r>
      <w:r>
        <w:t>事故防范和整改措施落实情况</w:t>
      </w:r>
    </w:p>
    <w:p w14:paraId="43079EE9">
      <w:pPr>
        <w:pStyle w:val="11"/>
        <w:widowControl/>
        <w:numPr>
          <w:ilvl w:val="0"/>
          <w:numId w:val="0"/>
        </w:numPr>
        <w:pBdr>
          <w:top w:val="none" w:color="auto" w:sz="0" w:space="0"/>
          <w:left w:val="none" w:color="auto" w:sz="0" w:space="0"/>
          <w:bottom w:val="none" w:color="auto" w:sz="0" w:space="0"/>
          <w:right w:val="none" w:color="auto" w:sz="0" w:space="0"/>
        </w:pBdr>
        <w:ind w:left="0" w:leftChars="0" w:firstLine="616"/>
        <w:rPr>
          <w:rFonts w:ascii="Times New Roman" w:hAnsi="Times New Roman" w:eastAsia="仿宋_GB2312" w:cs="仿宋_GB2312"/>
          <w:b w:val="0"/>
          <w:color w:val="auto"/>
          <w:sz w:val="32"/>
          <w:szCs w:val="32"/>
        </w:rPr>
      </w:pPr>
      <w:r>
        <w:rPr>
          <w:rStyle w:val="18"/>
          <w:rFonts w:hint="eastAsia"/>
          <w:lang w:eastAsia="zh-CN"/>
        </w:rPr>
        <w:t>1.</w:t>
      </w:r>
      <w:r>
        <w:rPr>
          <w:rStyle w:val="18"/>
        </w:rPr>
        <w:t>天津伟能新能源科技发展有限公司</w:t>
      </w:r>
      <w:r>
        <w:rPr>
          <w:rFonts w:ascii="Times New Roman" w:hAnsi="Times New Roman" w:eastAsia="仿宋_GB2312" w:cs="仿宋_GB2312"/>
          <w:color w:val="1F2329"/>
          <w:sz w:val="32"/>
          <w:szCs w:val="32"/>
        </w:rPr>
        <w:t>：事故发生后，该公司立即组织全体作业人员召开警示教育大会，深刻吸取事故教训，举一反三，认真落实《中华人民共和国安全生产法》《天津市生产经营单位安全生产主体责任规定》等法律法规要求，全面建立水上作业、光伏安装施工安全风险分级管控制度，对泡沫筏作业、临水作业等环节开展全方位风险辨识，完善风险公告与防控措施；健全生产安全事故隐患排查治理制度，制定专项排查计划，明确排查内容、频次与责任人员，动态消除事故隐患；制定年度安全生产教育培训计划，重点开展临水作业安全、救生器材使用、应急救援规范等专项培训；建立劳动防护用品发放与使用管理制度，按标准配齐救生衣、救生圈、安全绳等防护装备，严格监督作业人员规范佩戴使用，坚决杜绝无防护违章作业。</w:t>
      </w:r>
    </w:p>
    <w:p w14:paraId="31CDF75B">
      <w:pPr>
        <w:pStyle w:val="11"/>
        <w:widowControl/>
        <w:numPr>
          <w:ilvl w:val="0"/>
          <w:numId w:val="0"/>
        </w:numPr>
        <w:pBdr>
          <w:top w:val="none" w:color="auto" w:sz="0" w:space="0"/>
          <w:left w:val="none" w:color="auto" w:sz="0" w:space="0"/>
          <w:bottom w:val="none" w:color="auto" w:sz="0" w:space="0"/>
          <w:right w:val="none" w:color="auto" w:sz="0" w:space="0"/>
        </w:pBdr>
        <w:ind w:left="0" w:leftChars="0" w:firstLine="616"/>
        <w:rPr>
          <w:rFonts w:ascii="Times New Roman" w:hAnsi="Times New Roman" w:eastAsia="仿宋_GB2312" w:cs="仿宋_GB2312"/>
          <w:b w:val="0"/>
          <w:color w:val="auto"/>
          <w:sz w:val="32"/>
          <w:szCs w:val="32"/>
        </w:rPr>
      </w:pPr>
      <w:r>
        <w:rPr>
          <w:rStyle w:val="18"/>
          <w:rFonts w:hint="eastAsia"/>
          <w:lang w:eastAsia="zh-CN"/>
        </w:rPr>
        <w:t>2.</w:t>
      </w:r>
      <w:r>
        <w:rPr>
          <w:rStyle w:val="18"/>
        </w:rPr>
        <w:t>东棘坨镇人民政府</w:t>
      </w:r>
      <w:r>
        <w:rPr>
          <w:rFonts w:ascii="Times New Roman" w:hAnsi="Times New Roman" w:eastAsia="仿宋_GB2312" w:cs="仿宋_GB2312"/>
          <w:color w:val="1F2329"/>
          <w:sz w:val="32"/>
          <w:szCs w:val="32"/>
        </w:rPr>
        <w:t>：深入学习贯彻习近平总书记重要指示批示精神，坚持人民至上、生命至上，深刻汲取事故惨痛教训，召开事故警示专题会议，压实属地安全监管责任；将事故情况通报辖区新能源、涉水作业等相关企业，督促企业严格落实安全生产主体责任，深化安全风险分级管控与隐患排查治理；持续宣贯工贸企业安全生产“十项禁令”，强化从业人员安全意识与应急处置能力，从源头防范违规作业、盲目施救等行为，全面筑牢辖区安全生产防线。</w:t>
      </w:r>
    </w:p>
    <w:p w14:paraId="687D4472">
      <w:pPr>
        <w:pStyle w:val="11"/>
        <w:widowControl/>
        <w:pBdr>
          <w:top w:val="none" w:color="auto" w:sz="0" w:space="0"/>
          <w:left w:val="none" w:color="auto" w:sz="0" w:space="0"/>
          <w:bottom w:val="none" w:color="auto" w:sz="0" w:space="0"/>
          <w:right w:val="none" w:color="auto" w:sz="0" w:space="0"/>
        </w:pBdr>
        <w:ind w:left="2156" w:hanging="1540" w:firstLineChars="0"/>
        <w:rPr>
          <w:rFonts w:ascii="Times New Roman" w:hAnsi="Times New Roman" w:eastAsia="仿宋_GB2312" w:cs="仿宋_GB2312"/>
          <w:color w:val="1F2329"/>
          <w:sz w:val="32"/>
          <w:szCs w:val="32"/>
        </w:rPr>
      </w:pPr>
      <w:r>
        <w:rPr>
          <w:rFonts w:ascii="Times New Roman" w:hAnsi="Times New Roman" w:eastAsia="仿宋_GB2312" w:cs="仿宋_GB2312"/>
          <w:color w:val="1F2329"/>
          <w:spacing w:val="0"/>
          <w:kern w:val="0"/>
          <w:sz w:val="32"/>
          <w:szCs w:val="32"/>
          <w:fitText w:val="1280" w:id="406130966"/>
        </w:rPr>
        <w:t>评估结论</w:t>
      </w:r>
      <w:r>
        <w:rPr>
          <w:rFonts w:ascii="Times New Roman" w:hAnsi="Times New Roman" w:eastAsia="仿宋_GB2312" w:cs="仿宋_GB2312"/>
          <w:color w:val="1F2329"/>
          <w:sz w:val="32"/>
          <w:szCs w:val="32"/>
        </w:rPr>
        <w:t>：各相关单位对事故调查报告中的事故防范和整改措施已落实。</w:t>
      </w:r>
    </w:p>
    <w:p w14:paraId="2954805F"/>
    <w:p w14:paraId="6A0C3515">
      <w:pPr>
        <w:pStyle w:val="11"/>
        <w:bidi w:val="0"/>
      </w:pPr>
    </w:p>
    <w:sectPr>
      <w:headerReference r:id="rId3" w:type="default"/>
      <w:footerReference r:id="rId5" w:type="default"/>
      <w:headerReference r:id="rId4" w:type="even"/>
      <w:footerReference r:id="rId6" w:type="even"/>
      <w:pgSz w:w="11906" w:h="16838"/>
      <w:pgMar w:top="2098" w:right="1474" w:bottom="1984" w:left="1587" w:header="851" w:footer="1417" w:gutter="0"/>
      <w:pgNumType w:fmt="decimal" w:start="1"/>
      <w:cols w:space="425" w:num="1"/>
      <w:docGrid w:type="linesAndChars" w:linePitch="579" w:charSpace="1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00000001" w:usb1="08000000" w:usb2="00000000" w:usb3="00000000" w:csb0="0004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6C8837">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0126C9">
                          <w:pPr>
                            <w:pStyle w:val="12"/>
                            <w:rPr>
                              <w:rFonts w:ascii="宋体" w:hAnsi="宋体" w:eastAsia="宋体"/>
                              <w:sz w:val="28"/>
                            </w:rPr>
                          </w:pPr>
                          <w:r>
                            <w:rPr>
                              <w:rFonts w:ascii="宋体" w:hAnsi="宋体" w:eastAsia="宋体"/>
                              <w:sz w:val="28"/>
                            </w:rPr>
                            <w:t>—</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59264;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AyJkQw3AgAAawQAAA4AAABkcnMvZTJvRG9jLnhtbK1UzY7T&#10;MBC+I/EOlu80aVesqqrpqmxVhFSxKy2Is+s4jSX/yXablAeAN+DEhTvP1efgc5J2YeGwBy7OeGY8&#10;M983M5nftFqRg/BBWlPQ8SinRBhuS2l2Bf34Yf1qSkmIzJRMWSMKehSB3ixevpg3biYmtraqFJ4g&#10;iAmzxhW0jtHNsizwWmgWRtYJA2NlvWYRV7/LSs8aRNcqm+T5ddZYXzpvuQgB2lVvpENE/5yAtqok&#10;FyvL91qY2Ef1QrEISKGWLtBFV21VCR7vqiqISFRBgTR2J5JA3qYzW8zZbOeZqyUfSmDPKeEJJs2k&#10;QdJLqBWLjOy9/CuUltzbYKs44lZnPZCOEaAY50+4eaiZEx0WUB3chfTw/8Ly94d7T2SJSaDEMI2G&#10;n759PX3/efrxhYwTPY0LM3g9OPjF9o1tk+ugD1Am1G3ldfoCD4Ed5B4v5Io2Ep4eTSfTaQ4Th+18&#10;QZzs8bnzIb4VVpMkFNSjex2p7LAJsXc9u6Rsxq6lUtCzmTKkKej11eu8e3CxILgyyJFA9MUmKbbb&#10;dkCwteURwLztJyM4vpZIvmEh3jOPUUDBWJZ4h6NSFknsIFFSW//5X/rkjw7BSkmD0SqowSZRot4Z&#10;dG6SX2ENMIrdDYL/Q709q81e31pMLfqCqjoxOUd1Fitv9Sfs0jJlg4kZjpwFjWfxNvaDjl3kYrns&#10;nPbOy13dP8AEOhY35sHxlCbxGNxyH0Frx3aiqudnYBAz2PVr2Jc05L/fO6/Hf8Ti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alSs7WAAAABgEAAA8AAAAAAAAAAQAgAAAAIgAAAGRycy9kb3ducmV2&#10;LnhtbFBLAQIUABQAAAAIAIdO4kAMiZEMNwIAAGsEAAAOAAAAAAAAAAEAIAAAACUBAABkcnMvZTJv&#10;RG9jLnhtbFBLBQYAAAAABgAGAFkBAADOBQAAAAA=&#10;">
              <v:fill on="f" focussize="0,0"/>
              <v:stroke on="f" weight="0.5pt"/>
              <v:imagedata o:title=""/>
              <o:lock v:ext="edit" aspectratio="f"/>
              <v:textbox inset="16pt,0mm,16pt,0mm" style="mso-fit-shape-to-text:t;">
                <w:txbxContent>
                  <w:p w14:paraId="700126C9">
                    <w:pPr>
                      <w:pStyle w:val="12"/>
                      <w:rPr>
                        <w:rFonts w:ascii="宋体" w:hAnsi="宋体" w:eastAsia="宋体"/>
                        <w:sz w:val="28"/>
                      </w:rPr>
                    </w:pPr>
                    <w:r>
                      <w:rPr>
                        <w:rFonts w:ascii="宋体" w:hAnsi="宋体" w:eastAsia="宋体"/>
                        <w:sz w:val="28"/>
                      </w:rPr>
                      <w:t>—</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1</w:t>
                    </w:r>
                    <w:r>
                      <w:rPr>
                        <w:rFonts w:ascii="宋体" w:hAnsi="宋体" w:eastAsia="宋体"/>
                        <w:sz w:val="28"/>
                      </w:rPr>
                      <w:fldChar w:fldCharType="end"/>
                    </w:r>
                    <w:r>
                      <w:rPr>
                        <w:rFonts w:ascii="宋体" w:hAnsi="宋体" w:eastAsia="宋体"/>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171B56">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80E2FAE">
                          <w:pPr>
                            <w:pStyle w:val="12"/>
                            <w:rPr>
                              <w:rFonts w:ascii="宋体" w:hAnsi="宋体" w:eastAsia="宋体"/>
                              <w:sz w:val="28"/>
                            </w:rPr>
                          </w:pPr>
                          <w:r>
                            <w:rPr>
                              <w:rFonts w:ascii="宋体" w:hAnsi="宋体" w:eastAsia="宋体"/>
                              <w:sz w:val="28"/>
                            </w:rPr>
                            <w:t>—</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60288;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HN51Lo4AgAAawQAAA4AAABkcnMvZTJvRG9jLnhtbK1UzY7T&#10;MBC+I/EOlu80aVesqqrpqmxVhFSxKy2Is+s4TST/yXablAeAN+DEhTvP1efgs5N2YeGwBy7OeGY8&#10;M983M5nfdEqSg3C+Mbqg41FOidDclI3eFfTjh/WrKSU+MF0yabQo6FF4erN4+WLe2pmYmNrIUjiC&#10;INrPWlvQOgQ7yzLPa6GYHxkrNIyVcYoFXN0uKx1rEV3JbJLn11lrXGmd4cJ7aFe9kQ4R3XMCmqpq&#10;uFgZvldChz6qE5IFQPJ1Yz1dpGqrSvBwV1VeBCILCqQhnUgCeRvPbDFns51jtm74UAJ7TglPMCnW&#10;aCS9hFqxwMjeNX+FUg13xpsqjLhRWQ8kMQIU4/wJNw81syJhAdXeXkj3/y8sf3+4d6QpCzqhRDOF&#10;hp++fT19/3n68YVMIj2t9TN4PVj4he6N6TA0Z72HMqLuKqfiF3gI7CD3eCFXdIHw+Gg6mU5zmDhs&#10;5wviZ4/PrfPhrTCKRKGgDt1LpLLDxofe9ewSs2mzbqRMHZSatAW9vnqdpwcXC4JLjRwRRF9slEK3&#10;7QZkW1MeAcyZfjK85esGyTfMh3vmMAooGMsS7nBU0iCJGSRKauM+/0sf/dEhWClpMVoF1dgkSuQ7&#10;jc5N8iusAUYx3SC4P9Tbs1rv1a3B1I6xjpYnMToHeRYrZ9Qn7NIyZoOJaY6cBQ1n8Tb0g45d5GK5&#10;TE5765pd3T/ABFoWNvrB8pgmUurtch9Aa2I7UtXzMzCIGUz9GvYlDvnv9+T1+I9Y/A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GpUrO1gAAAAYBAAAPAAAAAAAAAAEAIAAAACIAAABkcnMvZG93bnJl&#10;di54bWxQSwECFAAUAAAACACHTuJAc3nUujgCAABrBAAADgAAAAAAAAABACAAAAAlAQAAZHJzL2Uy&#10;b0RvYy54bWxQSwUGAAAAAAYABgBZAQAAzwUAAAAA&#10;">
              <v:fill on="f" focussize="0,0"/>
              <v:stroke on="f" weight="0.5pt"/>
              <v:imagedata o:title=""/>
              <o:lock v:ext="edit" aspectratio="f"/>
              <v:textbox inset="16pt,0mm,16pt,0mm" style="mso-fit-shape-to-text:t;">
                <w:txbxContent>
                  <w:p w14:paraId="780E2FAE">
                    <w:pPr>
                      <w:pStyle w:val="12"/>
                      <w:rPr>
                        <w:rFonts w:ascii="宋体" w:hAnsi="宋体" w:eastAsia="宋体"/>
                        <w:sz w:val="28"/>
                      </w:rPr>
                    </w:pPr>
                    <w:r>
                      <w:rPr>
                        <w:rFonts w:ascii="宋体" w:hAnsi="宋体" w:eastAsia="宋体"/>
                        <w:sz w:val="28"/>
                      </w:rPr>
                      <w:t>—</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2</w:t>
                    </w:r>
                    <w:r>
                      <w:rPr>
                        <w:rFonts w:ascii="宋体" w:hAnsi="宋体" w:eastAsia="宋体"/>
                        <w:sz w:val="28"/>
                      </w:rPr>
                      <w:fldChar w:fldCharType="end"/>
                    </w:r>
                    <w:r>
                      <w:rPr>
                        <w:rFonts w:ascii="宋体" w:hAnsi="宋体" w:eastAsia="宋体"/>
                        <w:sz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A41C8">
    <w:pPr>
      <w:pStyle w:val="1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233698">
    <w:pPr>
      <w:pStyle w:val="1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evenAndOddHeaders w:val="1"/>
  <w:drawingGridHorizontalSpacing w:val="158"/>
  <w:drawingGridVerticalSpacing w:val="290"/>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3A3F4B"/>
    <w:rsid w:val="0ABD0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officialmode val="1"/>
    </mc:Choice>
  </mc:AlternateContent>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keepNext/>
      <w:keepLines/>
      <w:spacing w:beforeLines="0" w:beforeAutospacing="0" w:afterLines="0" w:afterAutospacing="0" w:line="560" w:lineRule="exact"/>
      <w:ind w:firstLine="894" w:firstLineChars="200"/>
      <w:outlineLvl w:val="0"/>
    </w:pPr>
    <w:rPr>
      <w:rFonts w:ascii="黑体" w:hAnsi="黑体" w:eastAsia="黑体" w:cs="黑体"/>
      <w:kern w:val="44"/>
      <w:sz w:val="32"/>
      <w:szCs w:val="32"/>
    </w:rPr>
  </w:style>
  <w:style w:type="paragraph" w:styleId="3">
    <w:name w:val="heading 2"/>
    <w:next w:val="1"/>
    <w:unhideWhenUsed/>
    <w:qFormat/>
    <w:uiPriority w:val="0"/>
    <w:pPr>
      <w:keepNext/>
      <w:keepLines/>
      <w:spacing w:beforeLines="0" w:beforeAutospacing="0" w:afterLines="0" w:afterAutospacing="0" w:line="560" w:lineRule="exact"/>
      <w:ind w:firstLine="894" w:firstLineChars="200"/>
      <w:outlineLvl w:val="1"/>
    </w:pPr>
    <w:rPr>
      <w:rFonts w:ascii="Times New Roman" w:hAnsi="Times New Roman" w:eastAsia="楷体_GB2312" w:cs="楷体_GB2312"/>
      <w:sz w:val="32"/>
      <w:szCs w:val="32"/>
    </w:rPr>
  </w:style>
  <w:style w:type="paragraph" w:styleId="4">
    <w:name w:val="heading 3"/>
    <w:next w:val="1"/>
    <w:link w:val="18"/>
    <w:semiHidden/>
    <w:unhideWhenUsed/>
    <w:qFormat/>
    <w:uiPriority w:val="0"/>
    <w:pPr>
      <w:keepNext/>
      <w:keepLines/>
      <w:spacing w:beforeLines="0" w:beforeAutospacing="0" w:afterLines="0" w:afterAutospacing="0" w:line="560" w:lineRule="exact"/>
      <w:ind w:firstLine="894" w:firstLineChars="200"/>
      <w:outlineLvl w:val="2"/>
    </w:pPr>
    <w:rPr>
      <w:rFonts w:ascii="Times New Roman" w:hAnsi="Times New Roman" w:eastAsia="仿宋_GB2312" w:cs="仿宋_GB2312"/>
      <w:sz w:val="32"/>
      <w:szCs w:val="32"/>
    </w:rPr>
  </w:style>
  <w:style w:type="paragraph" w:styleId="5">
    <w:name w:val="heading 4"/>
    <w:next w:val="1"/>
    <w:semiHidden/>
    <w:unhideWhenUsed/>
    <w:qFormat/>
    <w:uiPriority w:val="0"/>
    <w:pPr>
      <w:keepNext/>
      <w:keepLines/>
      <w:spacing w:beforeLines="0" w:beforeAutospacing="0" w:afterLines="0" w:afterAutospacing="0" w:line="560" w:lineRule="exact"/>
      <w:ind w:firstLine="894" w:firstLineChars="200"/>
      <w:outlineLvl w:val="3"/>
    </w:pPr>
    <w:rPr>
      <w:rFonts w:ascii="Times New Roman" w:hAnsi="Times New Roman" w:eastAsia="仿宋_GB2312" w:cs="仿宋_GB2312"/>
      <w:sz w:val="32"/>
      <w:szCs w:val="32"/>
    </w:rPr>
  </w:style>
  <w:style w:type="paragraph" w:styleId="6">
    <w:name w:val="heading 5"/>
    <w:next w:val="1"/>
    <w:semiHidden/>
    <w:unhideWhenUsed/>
    <w:qFormat/>
    <w:uiPriority w:val="0"/>
    <w:pPr>
      <w:spacing w:line="560" w:lineRule="exact"/>
      <w:ind w:firstLine="894" w:firstLineChars="200"/>
      <w:outlineLvl w:val="4"/>
    </w:pPr>
    <w:rPr>
      <w:rFonts w:ascii="Times New Roman" w:hAnsi="Times New Roman" w:eastAsia="仿宋_GB2312" w:cs="仿宋_GB2312"/>
      <w:sz w:val="32"/>
      <w:szCs w:val="32"/>
    </w:rPr>
  </w:style>
  <w:style w:type="paragraph" w:styleId="7">
    <w:name w:val="heading 6"/>
    <w:next w:val="1"/>
    <w:semiHidden/>
    <w:unhideWhenUsed/>
    <w:qFormat/>
    <w:uiPriority w:val="0"/>
    <w:pPr>
      <w:spacing w:line="560" w:lineRule="exact"/>
      <w:ind w:firstLine="894" w:firstLineChars="200"/>
      <w:outlineLvl w:val="5"/>
    </w:pPr>
    <w:rPr>
      <w:rFonts w:ascii="Times New Roman" w:hAnsi="Times New Roman" w:eastAsia="仿宋_GB2312" w:cs="仿宋_GB2312"/>
      <w:sz w:val="32"/>
      <w:szCs w:val="32"/>
    </w:rPr>
  </w:style>
  <w:style w:type="paragraph" w:styleId="8">
    <w:name w:val="heading 7"/>
    <w:next w:val="1"/>
    <w:semiHidden/>
    <w:unhideWhenUsed/>
    <w:qFormat/>
    <w:uiPriority w:val="0"/>
    <w:pPr>
      <w:spacing w:line="560" w:lineRule="exact"/>
      <w:ind w:firstLine="894" w:firstLineChars="200"/>
      <w:outlineLvl w:val="6"/>
    </w:pPr>
    <w:rPr>
      <w:rFonts w:ascii="Times New Roman" w:hAnsi="Times New Roman" w:eastAsia="仿宋_GB2312" w:cs="仿宋_GB2312"/>
      <w:sz w:val="32"/>
      <w:szCs w:val="32"/>
    </w:rPr>
  </w:style>
  <w:style w:type="paragraph" w:styleId="9">
    <w:name w:val="heading 8"/>
    <w:next w:val="1"/>
    <w:semiHidden/>
    <w:unhideWhenUsed/>
    <w:qFormat/>
    <w:uiPriority w:val="0"/>
    <w:pPr>
      <w:spacing w:line="560" w:lineRule="exact"/>
      <w:ind w:firstLine="894" w:firstLineChars="200"/>
      <w:outlineLvl w:val="7"/>
    </w:pPr>
    <w:rPr>
      <w:rFonts w:ascii="Times New Roman" w:hAnsi="Times New Roman" w:eastAsia="仿宋_GB2312" w:cs="仿宋_GB2312"/>
      <w:sz w:val="32"/>
      <w:szCs w:val="32"/>
    </w:rPr>
  </w:style>
  <w:style w:type="paragraph" w:styleId="10">
    <w:name w:val="heading 9"/>
    <w:next w:val="1"/>
    <w:semiHidden/>
    <w:unhideWhenUsed/>
    <w:qFormat/>
    <w:uiPriority w:val="0"/>
    <w:pPr>
      <w:spacing w:line="560" w:lineRule="exact"/>
      <w:ind w:firstLine="894" w:firstLineChars="200"/>
      <w:outlineLvl w:val="8"/>
    </w:pPr>
    <w:rPr>
      <w:rFonts w:ascii="Times New Roman" w:hAnsi="Times New Roman" w:eastAsia="仿宋_GB2312" w:cs="仿宋_GB2312"/>
      <w:sz w:val="32"/>
      <w:szCs w:val="32"/>
    </w:rPr>
  </w:style>
  <w:style w:type="character" w:default="1" w:styleId="17">
    <w:name w:val="Default Paragraph Font"/>
    <w:semiHidden/>
    <w:uiPriority w:val="0"/>
  </w:style>
  <w:style w:type="table" w:default="1" w:styleId="16">
    <w:name w:val="Normal Table"/>
    <w:semiHidden/>
    <w:uiPriority w:val="0"/>
    <w:tblPr>
      <w:tblCellMar>
        <w:top w:w="0" w:type="dxa"/>
        <w:left w:w="108" w:type="dxa"/>
        <w:bottom w:w="0" w:type="dxa"/>
        <w:right w:w="108" w:type="dxa"/>
      </w:tblCellMar>
    </w:tblPr>
  </w:style>
  <w:style w:type="paragraph" w:styleId="11">
    <w:name w:val="Body Text"/>
    <w:qFormat/>
    <w:uiPriority w:val="0"/>
    <w:pPr>
      <w:spacing w:line="560" w:lineRule="exact"/>
      <w:ind w:firstLine="630" w:firstLineChars="200"/>
      <w:jc w:val="both"/>
    </w:pPr>
    <w:rPr>
      <w:rFonts w:ascii="Times New Roman" w:hAnsi="Times New Roman" w:eastAsia="仿宋_GB2312" w:cs="仿宋_GB2312"/>
      <w:spacing w:val="-6"/>
      <w:sz w:val="32"/>
      <w:szCs w:val="32"/>
    </w:rPr>
  </w:style>
  <w:style w:type="paragraph" w:styleId="12">
    <w:name w:val="footer"/>
    <w:basedOn w:val="1"/>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Subtitle"/>
    <w:qFormat/>
    <w:uiPriority w:val="0"/>
    <w:pPr>
      <w:spacing w:beforeLines="0" w:beforeAutospacing="0" w:afterLines="0" w:afterAutospacing="0" w:line="720" w:lineRule="exact"/>
      <w:jc w:val="center"/>
      <w:outlineLvl w:val="9"/>
    </w:pPr>
    <w:rPr>
      <w:rFonts w:ascii="Times New Roman" w:hAnsi="Times New Roman" w:eastAsia="仿宋_GB2312" w:cs="仿宋_GB2312"/>
      <w:kern w:val="28"/>
      <w:sz w:val="32"/>
      <w:szCs w:val="32"/>
    </w:rPr>
  </w:style>
  <w:style w:type="paragraph" w:styleId="15">
    <w:name w:val="Title"/>
    <w:qFormat/>
    <w:uiPriority w:val="0"/>
    <w:pPr>
      <w:spacing w:line="720" w:lineRule="exact"/>
      <w:jc w:val="center"/>
      <w:outlineLvl w:val="9"/>
    </w:pPr>
    <w:rPr>
      <w:rFonts w:ascii="方正小标宋简体" w:hAnsi="方正小标宋简体" w:eastAsia="方正小标宋简体" w:cs="方正小标宋简体"/>
      <w:sz w:val="44"/>
      <w:szCs w:val="44"/>
    </w:rPr>
  </w:style>
  <w:style w:type="character" w:customStyle="1" w:styleId="18">
    <w:name w:val="标题 3 Char"/>
    <w:link w:val="4"/>
    <w:uiPriority w:val="0"/>
    <w:rPr>
      <w:rFonts w:ascii="Times New Roman" w:hAnsi="Times New Roman" w:eastAsia="仿宋_GB2312" w:cs="仿宋_GB231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2042</Words>
  <Characters>2056</Characters>
  <Lines>0</Lines>
  <Paragraphs>0</Paragraphs>
  <TotalTime>0</TotalTime>
  <ScaleCrop>false</ScaleCrop>
  <LinksUpToDate>false</LinksUpToDate>
  <CharactersWithSpaces>2056</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2026-04-16T07:40:00Z</dcterms:created>
  <dc:creator>ROG</dc:creator>
  <cp:lastModifiedBy>曾嘉 15332140501</cp:lastModifiedBy>
  <dcterms:modified xsi:type="dcterms:W3CDTF">2026-04-21T06:15:15Z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eyJoZGlkIjoiZWFmYTcyMmNlZDcwOTM0ZDY5MjhmMTU2MzJkMGVjNDQiLCJ1c2VySWQiOiIxNTI5MTk0NDM4In0=</vt:lpwstr>
  </property>
  <property fmtid="{D5CDD505-2E9C-101B-9397-08002B2CF9AE}" pid="4" name="ICV">
    <vt:lpwstr>5552C745824E418FABB9FC6C1A66A87A_12</vt:lpwstr>
  </property>
</Properties>
</file>