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29C405">
      <w:pPr>
        <w:pStyle w:val="15"/>
        <w:widowControl/>
      </w:pPr>
      <mc:AlternateContent>
        <mc:Choice Requires="wpsCustomData">
          <wpsCustomData:docfieldStart id="0" docfieldname="标题_1" hidden="0" print="1" readonly="0" index="1"/>
        </mc:Choice>
      </mc:AlternateContent>
      <w:r>
        <w:t>宁河经济开发区天津市某某米业有限公司“4・18”一般坍塌事故防范和整改措施落实情况评估报告</w:t>
      </w:r>
      <mc:AlternateContent>
        <mc:Choice Requires="wpsCustomData">
          <wpsCustomData:docfieldEnd id="0"/>
        </mc:Choice>
      </mc:AlternateContent>
    </w:p>
    <w:p w14:paraId="11858476">
      <w:pPr>
        <w:pStyle w:val="11"/>
        <w:bidi w:val="0"/>
        <w:spacing w:beforeAutospacing="0" w:afterAutospacing="0" w:line="300" w:lineRule="exact"/>
        <w:rPr>
          <w:rFonts w:hint="eastAsia"/>
          <w:lang w:eastAsia="zh-CN"/>
        </w:rPr>
      </w:pPr>
    </w:p>
    <w:p w14:paraId="225E48EC">
      <w:pPr>
        <w:pStyle w:val="2"/>
        <w:widowControl/>
        <w:numPr>
          <w:ilvl w:val="0"/>
          <w:numId w:val="0"/>
        </w:numPr>
        <w:topLinePunct w:val="0"/>
        <w:ind w:left="0" w:leftChars="0" w:firstLine="640"/>
        <w:rPr>
          <w:b w:val="0"/>
        </w:rPr>
      </w:pPr>
      <w:r>
        <w:rPr>
          <w:rFonts w:hint="eastAsia"/>
          <w:lang w:eastAsia="zh-CN"/>
        </w:rPr>
        <w:t>一、</w:t>
      </w:r>
      <w:r>
        <w:t>评估目的</w:t>
      </w:r>
    </w:p>
    <w:p w14:paraId="0F8F14F5">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为深入贯彻落实习近平总书记关于安全生产的重要指示批示精神，认真落实市委、市政府和区委、区政府关于做好安全生产工作的部署要求，充分发挥事故调查处理对加强和改进安全生产工作的促进作用，全面掌握事故发生单位及有关部门落实事故责任追究、事故防范和整改措施落实情况、采取的具体举措以及工作成效，深刻吸取事故教训，充分发挥事故惩戒和警示作用，从根本上消除事故隐患、从根本上解决存在问题，以事故调查评估促进本地区安全生产工作。</w:t>
      </w:r>
    </w:p>
    <w:p w14:paraId="24FE1CF9">
      <w:pPr>
        <w:pStyle w:val="2"/>
        <w:widowControl/>
        <w:numPr>
          <w:ilvl w:val="0"/>
          <w:numId w:val="0"/>
        </w:numPr>
        <w:topLinePunct w:val="0"/>
        <w:ind w:left="0" w:leftChars="0" w:firstLine="640"/>
        <w:rPr>
          <w:b w:val="0"/>
        </w:rPr>
      </w:pPr>
      <w:r>
        <w:rPr>
          <w:rFonts w:hint="eastAsia"/>
          <w:lang w:eastAsia="zh-CN"/>
        </w:rPr>
        <w:t>二、</w:t>
      </w:r>
      <w:r>
        <w:t>评估依据及职责分工</w:t>
      </w:r>
    </w:p>
    <w:p w14:paraId="34F02BE0">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依据《宁河经济开发区天津市某某米业有限公司“4・18”一般坍塌事故调查报告》和《中共天津市委天津市人民政府关于推进安全生产领域改革发展的实施意见》《生产安全事故防范和整改措施落实情况评估办法》和《市安委会办公室关于印发〈天津市生产安全事故防范和整改措施落实情况评估办法〉的通知》（津安办〔2022〕20号）规定，区应急局牵头成立宁河经济开发区天津市某某米业有限公司“4・18”一般坍塌事故评估组（以下简称事故评估组），对事故责任追究和整改措施落实情况进行评估。评估组由区应急管理局、公安宁河分局、区总工会、区农业农村委、经济开发区管委会等单位组成，邀请区纪委监委、区检察院派员参加。具体分工如下：</w:t>
      </w:r>
    </w:p>
    <w:p w14:paraId="031494F3">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一）区应急管理局负责收集相关部门、事故单位依据区政府批复，对单位、人员处理及整改措施的落实情况；组织拟写评估报告，及时向社会全文公开发布。（二）公安宁河分局负责递交事故相关责任人员刑事责任追究情况；参与拟写评估报告。（三）区总工会负责监督整改措施落实、职工劳动保护等情况；参与拟写评估报告。（四）区农业农村委负责递交本行业落实区政府批复中相关行政处理及整改措施的落实情况；参与拟写评估报告。（五）经济开发区管委会负责递交本地区落实区政府批复中相关行政处理及整改措施的落实情况；协调相关事故单位配合现场核查工作；参与拟写评估报告。</w:t>
      </w:r>
    </w:p>
    <w:p w14:paraId="08162637">
      <w:pPr>
        <w:pStyle w:val="2"/>
        <w:widowControl/>
        <w:numPr>
          <w:ilvl w:val="0"/>
          <w:numId w:val="0"/>
        </w:numPr>
        <w:topLinePunct w:val="0"/>
        <w:ind w:left="0" w:leftChars="0" w:firstLine="640"/>
        <w:rPr>
          <w:b w:val="0"/>
        </w:rPr>
      </w:pPr>
      <w:r>
        <w:rPr>
          <w:rFonts w:hint="eastAsia"/>
          <w:lang w:eastAsia="zh-CN"/>
        </w:rPr>
        <w:t>三、</w:t>
      </w:r>
      <w:r>
        <w:t>事故调查处理情况</w:t>
      </w:r>
    </w:p>
    <w:p w14:paraId="35E611DB">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事故发生时，有报警、接警信息传送、联动、启动现场应急救援；事故发生后经过区政府批准成立事故调查组，按照职责分工进行调查取证，派员到现场勘查，进行物证提取、收集资料，并对相关人员进行询问笔录。调查组成员开会讨论研究分析事故发生的原因，确定事故性质、责任人员和责任单位，追究事故责任，并吸取事故教训提出事故整改防范措施，形成事故调查报告。将事故调查报告提交给本级人民政府批复，对相关责任人员和单位依法处理，落实整改防范措施，最后结案归档。</w:t>
      </w:r>
    </w:p>
    <w:p w14:paraId="50362113">
      <w:pPr>
        <w:pStyle w:val="2"/>
        <w:widowControl/>
        <w:numPr>
          <w:ilvl w:val="0"/>
          <w:numId w:val="0"/>
        </w:numPr>
        <w:topLinePunct w:val="0"/>
        <w:ind w:left="0" w:leftChars="0" w:firstLine="640"/>
        <w:rPr>
          <w:b w:val="0"/>
        </w:rPr>
      </w:pPr>
      <w:r>
        <w:rPr>
          <w:rFonts w:hint="eastAsia"/>
          <w:lang w:eastAsia="zh-CN"/>
        </w:rPr>
        <w:t>四、</w:t>
      </w:r>
      <w:r>
        <w:t>评估部署工作</w:t>
      </w:r>
    </w:p>
    <w:p w14:paraId="090FE9D1">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区应急管理局牵头公安宁河分局、区总工会、区农业农村委和经济开发区管委会组成了事故评估组，并邀请区纪委监委、区检察院参加评估工作。评估组以《事故调查报告》为依据，按照“四不放过”和科学严谨、依法依规、实事求是、注重实效的原则，制定了工作方案。评估组分别前往经济开发区管委会、天津市某某米业有限公司、天津市某某食品贸易有限公司进行现场评估，通过现场勘查、查阅文档、询问有关人员等方式了解了相关单位在事故发生后整改措施落实情况，并收集了相关资料，完成了评估工作。</w:t>
      </w:r>
    </w:p>
    <w:p w14:paraId="4E382889">
      <w:pPr>
        <w:pStyle w:val="2"/>
        <w:widowControl/>
        <w:numPr>
          <w:ilvl w:val="0"/>
          <w:numId w:val="0"/>
        </w:numPr>
        <w:topLinePunct w:val="0"/>
        <w:ind w:left="0" w:leftChars="0" w:firstLine="640"/>
        <w:rPr>
          <w:b w:val="0"/>
        </w:rPr>
      </w:pPr>
      <w:r>
        <w:rPr>
          <w:rFonts w:hint="eastAsia"/>
          <w:lang w:eastAsia="zh-CN"/>
        </w:rPr>
        <w:t>五、</w:t>
      </w:r>
      <w:r>
        <w:t>评估事项及结论</w:t>
      </w:r>
    </w:p>
    <w:p w14:paraId="7C9F8825">
      <w:pPr>
        <w:pStyle w:val="3"/>
        <w:widowControl/>
        <w:numPr>
          <w:ilvl w:val="0"/>
          <w:numId w:val="0"/>
        </w:numPr>
        <w:topLinePunct w:val="0"/>
        <w:ind w:left="0" w:leftChars="0" w:firstLine="640"/>
        <w:rPr>
          <w:rFonts w:hint="eastAsia" w:ascii="楷体_GB2312" w:hAnsi="楷体_GB2312" w:eastAsia="楷体_GB2312" w:cs="楷体_GB2312"/>
          <w:b w:val="0"/>
        </w:rPr>
      </w:pPr>
      <w:r>
        <w:rPr>
          <w:rFonts w:hint="eastAsia"/>
          <w:lang w:eastAsia="zh-CN"/>
        </w:rPr>
        <w:t>（一）</w:t>
      </w:r>
      <w:r>
        <w:t>行政处罚落实情况</w:t>
      </w:r>
    </w:p>
    <w:p w14:paraId="0D6F24BB">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落实情况：对天津市某某食品贸易有限公司50万元罚款已下达处罚决定；对天津市某某食品贸易有限公司主要负责人李某某2024年度年收入百分之四十罚款已下达处罚决定；死者李某某已免于责任追究；</w:t>
      </w:r>
      <w:bookmarkStart w:id="0" w:name="_GoBack"/>
      <w:bookmarkEnd w:id="0"/>
      <w:r>
        <w:rPr>
          <w:rFonts w:ascii="Times New Roman" w:hAnsi="Times New Roman" w:eastAsia="仿宋_GB2312" w:cs="仿宋_GB2312"/>
          <w:color w:val="1F2329"/>
          <w:sz w:val="32"/>
          <w:szCs w:val="32"/>
        </w:rPr>
        <w:t>评估结论：对天津市某某食品贸易有限公司、李某某的行政处罚及相关人员责任追究已落实。</w:t>
      </w:r>
    </w:p>
    <w:p w14:paraId="233E7B5D">
      <w:pPr>
        <w:pStyle w:val="3"/>
        <w:widowControl/>
        <w:numPr>
          <w:ilvl w:val="0"/>
          <w:numId w:val="0"/>
        </w:numPr>
        <w:topLinePunct w:val="0"/>
        <w:ind w:left="0" w:leftChars="0" w:firstLine="640"/>
        <w:rPr>
          <w:rFonts w:hint="eastAsia" w:ascii="楷体_GB2312" w:hAnsi="楷体_GB2312" w:eastAsia="楷体_GB2312" w:cs="楷体_GB2312"/>
          <w:b w:val="0"/>
        </w:rPr>
      </w:pPr>
      <w:r>
        <w:rPr>
          <w:rFonts w:hint="eastAsia"/>
          <w:lang w:eastAsia="zh-CN"/>
        </w:rPr>
        <w:t>（二）</w:t>
      </w:r>
      <w:r>
        <w:t>事故防范和整改措施落实情况</w:t>
      </w:r>
    </w:p>
    <w:p w14:paraId="15B39090">
      <w:pPr>
        <w:pStyle w:val="11"/>
        <w:widowControl/>
        <w:numPr>
          <w:ilvl w:val="0"/>
          <w:numId w:val="0"/>
        </w:numPr>
        <w:pBdr>
          <w:top w:val="none" w:color="auto" w:sz="0" w:space="0"/>
          <w:left w:val="none" w:color="auto" w:sz="0" w:space="0"/>
          <w:bottom w:val="none" w:color="auto" w:sz="0" w:space="0"/>
          <w:right w:val="none" w:color="auto" w:sz="0" w:space="0"/>
        </w:pBdr>
        <w:ind w:left="0" w:leftChars="0" w:firstLine="616"/>
        <w:rPr>
          <w:rFonts w:ascii="Times New Roman" w:hAnsi="Times New Roman" w:eastAsia="仿宋_GB2312" w:cs="仿宋_GB2312"/>
          <w:b w:val="0"/>
          <w:color w:val="auto"/>
          <w:sz w:val="32"/>
          <w:szCs w:val="32"/>
        </w:rPr>
      </w:pPr>
      <w:r>
        <w:rPr>
          <w:rStyle w:val="18"/>
          <w:rFonts w:hint="eastAsia"/>
          <w:lang w:eastAsia="zh-CN"/>
        </w:rPr>
        <w:t>1.</w:t>
      </w:r>
      <w:r>
        <w:rPr>
          <w:rStyle w:val="18"/>
        </w:rPr>
        <w:t>天津市某某食品贸易有限公司、天津市某某米业有限公司</w:t>
      </w:r>
      <w:r>
        <w:rPr>
          <w:rFonts w:ascii="Times New Roman" w:hAnsi="Times New Roman" w:eastAsia="仿宋_GB2312" w:cs="仿宋_GB2312"/>
          <w:color w:val="1F2329"/>
          <w:sz w:val="32"/>
          <w:szCs w:val="32"/>
        </w:rPr>
        <w:t>：事故发生后，相关企业立即组织全体人员召开警示教育大会，深刻吸取事故教训，举一反三，认真落实《中华人民共和国安全生产法》《天津市生产经营单位安全生产主体责任规定》等法律法规要求，健全安全风险分级管控和隐患排查治理双重预防工作机制，全面开展老旧建（构）筑物、拆除作业、高处作业等环节风险辨识；严格落实作业单位及人员资质核验制度，严禁将拆除、高处等危险作业发包给无资质单位或个人；强化外来作业人员安全培训教育，如实告知作业场所危险因素、防范措施及应急处置方法；完善高处及拆除作业安全操作规程，加强作业现场安全管理，及时排查消除彩钢瓦锈蚀、承重不足等安全隐患，坚决杜绝违章作业、冒险作业。</w:t>
      </w:r>
    </w:p>
    <w:p w14:paraId="07178E9D">
      <w:pPr>
        <w:pStyle w:val="11"/>
        <w:widowControl/>
        <w:numPr>
          <w:ilvl w:val="0"/>
          <w:numId w:val="0"/>
        </w:numPr>
        <w:pBdr>
          <w:top w:val="none" w:color="auto" w:sz="0" w:space="0"/>
          <w:left w:val="none" w:color="auto" w:sz="0" w:space="0"/>
          <w:bottom w:val="none" w:color="auto" w:sz="0" w:space="0"/>
          <w:right w:val="none" w:color="auto" w:sz="0" w:space="0"/>
        </w:pBdr>
        <w:ind w:left="0" w:leftChars="0" w:firstLine="616"/>
        <w:rPr>
          <w:rFonts w:ascii="Times New Roman" w:hAnsi="Times New Roman" w:eastAsia="仿宋_GB2312" w:cs="仿宋_GB2312"/>
          <w:b w:val="0"/>
          <w:color w:val="auto"/>
          <w:sz w:val="32"/>
          <w:szCs w:val="32"/>
        </w:rPr>
      </w:pPr>
      <w:r>
        <w:rPr>
          <w:rStyle w:val="18"/>
          <w:rFonts w:hint="eastAsia"/>
          <w:lang w:eastAsia="zh-CN"/>
        </w:rPr>
        <w:t>2.</w:t>
      </w:r>
      <w:r>
        <w:rPr>
          <w:rStyle w:val="18"/>
        </w:rPr>
        <w:t>经济开发区管委会</w:t>
      </w:r>
      <w:r>
        <w:rPr>
          <w:rFonts w:ascii="Times New Roman" w:hAnsi="Times New Roman" w:eastAsia="仿宋_GB2312" w:cs="仿宋_GB2312"/>
          <w:color w:val="1F2329"/>
          <w:sz w:val="32"/>
          <w:szCs w:val="32"/>
        </w:rPr>
        <w:t>：深入学习贯彻习近平总书记重要指示批示精神，坚持人民至上、生命至上，深刻汲取事故惨痛教训，召开事故警示专题会议，压实属地安全监管责任；将事故情况通报辖区各类生产经营单位，全面摸排企业外委外包、拆除施工、高处作业等情况，建立管理台账；督促企业严格落实安全生产主体责任，强化风险管控与隐患排查治理，提升辖区安全生产监管水平。</w:t>
      </w:r>
    </w:p>
    <w:p w14:paraId="4BBDC1D6">
      <w:pPr>
        <w:pStyle w:val="11"/>
        <w:widowControl/>
        <w:numPr>
          <w:ilvl w:val="0"/>
          <w:numId w:val="0"/>
        </w:numPr>
        <w:pBdr>
          <w:top w:val="none" w:color="auto" w:sz="0" w:space="0"/>
          <w:left w:val="none" w:color="auto" w:sz="0" w:space="0"/>
          <w:bottom w:val="none" w:color="auto" w:sz="0" w:space="0"/>
          <w:right w:val="none" w:color="auto" w:sz="0" w:space="0"/>
        </w:pBdr>
        <w:ind w:left="0" w:leftChars="0" w:firstLine="616"/>
        <w:rPr>
          <w:rFonts w:ascii="Times New Roman" w:hAnsi="Times New Roman" w:eastAsia="仿宋_GB2312" w:cs="仿宋_GB2312"/>
          <w:b w:val="0"/>
          <w:color w:val="auto"/>
          <w:sz w:val="32"/>
          <w:szCs w:val="32"/>
        </w:rPr>
      </w:pPr>
      <w:r>
        <w:rPr>
          <w:rStyle w:val="18"/>
          <w:rFonts w:hint="eastAsia"/>
          <w:lang w:eastAsia="zh-CN"/>
        </w:rPr>
        <w:t>3.</w:t>
      </w:r>
      <w:r>
        <w:rPr>
          <w:rStyle w:val="18"/>
        </w:rPr>
        <w:t>天津市宁河区某某建设投资集团有限公司</w:t>
      </w:r>
      <w:r>
        <w:rPr>
          <w:rFonts w:ascii="Times New Roman" w:hAnsi="Times New Roman" w:eastAsia="仿宋_GB2312" w:cs="仿宋_GB2312"/>
          <w:color w:val="1F2329"/>
          <w:sz w:val="32"/>
          <w:szCs w:val="32"/>
        </w:rPr>
        <w:t>：深刻吸取事故教训，强化对外租场地、发包项目的安全管理，严格审核承包、承租单位安全生产条件及相应资质，与承包、承租单位签订专门安全生产管理协议，对安全生产工作统一协调、管理，定期开展安全检查，及时督促整改安全隐患，严禁向不具备安全生产条件的单位或个人出租场所、设备。</w:t>
      </w:r>
    </w:p>
    <w:p w14:paraId="5F87B523">
      <w:pPr>
        <w:pStyle w:val="11"/>
        <w:widowControl/>
        <w:pBdr>
          <w:top w:val="none" w:color="auto" w:sz="0" w:space="0"/>
          <w:left w:val="none" w:color="auto" w:sz="0" w:space="0"/>
          <w:bottom w:val="none" w:color="auto" w:sz="0" w:space="0"/>
          <w:right w:val="none" w:color="auto" w:sz="0" w:space="0"/>
        </w:pBdr>
        <w:ind w:left="2156" w:hanging="1540" w:firstLineChars="0"/>
        <w:rPr>
          <w:rFonts w:ascii="Times New Roman" w:hAnsi="Times New Roman" w:eastAsia="仿宋_GB2312" w:cs="仿宋_GB2312"/>
          <w:color w:val="1F2329"/>
          <w:sz w:val="32"/>
          <w:szCs w:val="32"/>
        </w:rPr>
      </w:pPr>
      <w:r>
        <w:rPr>
          <w:rFonts w:ascii="Times New Roman" w:hAnsi="Times New Roman" w:eastAsia="仿宋_GB2312" w:cs="仿宋_GB2312"/>
          <w:color w:val="1F2329"/>
          <w:spacing w:val="0"/>
          <w:kern w:val="0"/>
          <w:sz w:val="32"/>
          <w:szCs w:val="32"/>
          <w:fitText w:val="1280" w:id="1967594651"/>
        </w:rPr>
        <w:t>评估结论</w:t>
      </w:r>
      <w:r>
        <w:rPr>
          <w:rFonts w:ascii="Times New Roman" w:hAnsi="Times New Roman" w:eastAsia="仿宋_GB2312" w:cs="仿宋_GB2312"/>
          <w:color w:val="1F2329"/>
          <w:sz w:val="32"/>
          <w:szCs w:val="32"/>
        </w:rPr>
        <w:t>：各相关单位对事故调查报告中的事故防范和整改措施已落实。</w:t>
      </w:r>
    </w:p>
    <w:p w14:paraId="79F006ED"/>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start="1"/>
      <w:cols w:space="425" w:num="1"/>
      <w:docGrid w:type="linesAndChars" w:linePitch="579" w:charSpace="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E9C48">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F56C8A">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52F56C8A">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8C4D3">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E1D2FF">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0288;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c3nUujgCAABrBAAADgAAAAAAAAABACAAAAAlAQAAZHJzL2Uy&#10;b0RvYy54bWxQSwUGAAAAAAYABgBZAQAAzwUAAAAA&#10;">
              <v:fill on="f" focussize="0,0"/>
              <v:stroke on="f" weight="0.5pt"/>
              <v:imagedata o:title=""/>
              <o:lock v:ext="edit" aspectratio="f"/>
              <v:textbox inset="16pt,0mm,16pt,0mm" style="mso-fit-shape-to-text:t;">
                <w:txbxContent>
                  <w:p w14:paraId="24E1D2FF">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52D73">
    <w:pPr>
      <w:pStyle w:val="1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AA2AD">
    <w:pPr>
      <w:pStyle w:val="1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evenAndOddHeaders w:val="1"/>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11466D"/>
    <w:rsid w:val="315A66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officialmode val="1"/>
    </mc:Choice>
  </mc:AlternateContent>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keepLines/>
      <w:spacing w:beforeLines="0" w:beforeAutospacing="0" w:afterLines="0" w:afterAutospacing="0" w:line="560" w:lineRule="exact"/>
      <w:ind w:firstLine="894" w:firstLineChars="200"/>
      <w:outlineLvl w:val="0"/>
    </w:pPr>
    <w:rPr>
      <w:rFonts w:ascii="黑体" w:hAnsi="黑体" w:eastAsia="黑体" w:cs="黑体"/>
      <w:kern w:val="44"/>
      <w:sz w:val="32"/>
      <w:szCs w:val="32"/>
    </w:rPr>
  </w:style>
  <w:style w:type="paragraph" w:styleId="3">
    <w:name w:val="heading 2"/>
    <w:next w:val="1"/>
    <w:unhideWhenUsed/>
    <w:qFormat/>
    <w:uiPriority w:val="0"/>
    <w:pPr>
      <w:keepNext/>
      <w:keepLines/>
      <w:spacing w:beforeLines="0" w:beforeAutospacing="0" w:afterLines="0" w:afterAutospacing="0" w:line="560" w:lineRule="exact"/>
      <w:ind w:firstLine="894" w:firstLineChars="200"/>
      <w:outlineLvl w:val="1"/>
    </w:pPr>
    <w:rPr>
      <w:rFonts w:ascii="Times New Roman" w:hAnsi="Times New Roman" w:eastAsia="楷体_GB2312" w:cs="楷体_GB2312"/>
      <w:sz w:val="32"/>
      <w:szCs w:val="32"/>
    </w:rPr>
  </w:style>
  <w:style w:type="paragraph" w:styleId="4">
    <w:name w:val="heading 3"/>
    <w:next w:val="1"/>
    <w:link w:val="18"/>
    <w:semiHidden/>
    <w:unhideWhenUsed/>
    <w:qFormat/>
    <w:uiPriority w:val="0"/>
    <w:pPr>
      <w:keepNext/>
      <w:keepLines/>
      <w:spacing w:beforeLines="0" w:beforeAutospacing="0" w:afterLines="0" w:afterAutospacing="0" w:line="560" w:lineRule="exact"/>
      <w:ind w:firstLine="894" w:firstLineChars="200"/>
      <w:outlineLvl w:val="2"/>
    </w:pPr>
    <w:rPr>
      <w:rFonts w:ascii="Times New Roman" w:hAnsi="Times New Roman" w:eastAsia="仿宋_GB2312" w:cs="仿宋_GB2312"/>
      <w:sz w:val="32"/>
      <w:szCs w:val="32"/>
    </w:rPr>
  </w:style>
  <w:style w:type="paragraph" w:styleId="5">
    <w:name w:val="heading 4"/>
    <w:next w:val="1"/>
    <w:semiHidden/>
    <w:unhideWhenUsed/>
    <w:qFormat/>
    <w:uiPriority w:val="0"/>
    <w:pPr>
      <w:keepNext/>
      <w:keepLines/>
      <w:spacing w:beforeLines="0" w:beforeAutospacing="0" w:afterLines="0" w:afterAutospacing="0" w:line="560" w:lineRule="exact"/>
      <w:ind w:firstLine="894" w:firstLineChars="200"/>
      <w:outlineLvl w:val="3"/>
    </w:pPr>
    <w:rPr>
      <w:rFonts w:ascii="Times New Roman" w:hAnsi="Times New Roman" w:eastAsia="仿宋_GB2312" w:cs="仿宋_GB2312"/>
      <w:sz w:val="32"/>
      <w:szCs w:val="32"/>
    </w:rPr>
  </w:style>
  <w:style w:type="paragraph" w:styleId="6">
    <w:name w:val="heading 5"/>
    <w:next w:val="1"/>
    <w:semiHidden/>
    <w:unhideWhenUsed/>
    <w:qFormat/>
    <w:uiPriority w:val="0"/>
    <w:pPr>
      <w:spacing w:line="560" w:lineRule="exact"/>
      <w:ind w:firstLine="894" w:firstLineChars="200"/>
      <w:outlineLvl w:val="4"/>
    </w:pPr>
    <w:rPr>
      <w:rFonts w:ascii="Times New Roman" w:hAnsi="Times New Roman" w:eastAsia="仿宋_GB2312" w:cs="仿宋_GB2312"/>
      <w:sz w:val="32"/>
      <w:szCs w:val="32"/>
    </w:rPr>
  </w:style>
  <w:style w:type="paragraph" w:styleId="7">
    <w:name w:val="heading 6"/>
    <w:next w:val="1"/>
    <w:semiHidden/>
    <w:unhideWhenUsed/>
    <w:qFormat/>
    <w:uiPriority w:val="0"/>
    <w:pPr>
      <w:spacing w:line="560" w:lineRule="exact"/>
      <w:ind w:firstLine="894" w:firstLineChars="200"/>
      <w:outlineLvl w:val="5"/>
    </w:pPr>
    <w:rPr>
      <w:rFonts w:ascii="Times New Roman" w:hAnsi="Times New Roman" w:eastAsia="仿宋_GB2312" w:cs="仿宋_GB2312"/>
      <w:sz w:val="32"/>
      <w:szCs w:val="32"/>
    </w:rPr>
  </w:style>
  <w:style w:type="paragraph" w:styleId="8">
    <w:name w:val="heading 7"/>
    <w:next w:val="1"/>
    <w:semiHidden/>
    <w:unhideWhenUsed/>
    <w:qFormat/>
    <w:uiPriority w:val="0"/>
    <w:pPr>
      <w:spacing w:line="560" w:lineRule="exact"/>
      <w:ind w:firstLine="894" w:firstLineChars="200"/>
      <w:outlineLvl w:val="6"/>
    </w:pPr>
    <w:rPr>
      <w:rFonts w:ascii="Times New Roman" w:hAnsi="Times New Roman" w:eastAsia="仿宋_GB2312" w:cs="仿宋_GB2312"/>
      <w:sz w:val="32"/>
      <w:szCs w:val="32"/>
    </w:rPr>
  </w:style>
  <w:style w:type="paragraph" w:styleId="9">
    <w:name w:val="heading 8"/>
    <w:next w:val="1"/>
    <w:semiHidden/>
    <w:unhideWhenUsed/>
    <w:qFormat/>
    <w:uiPriority w:val="0"/>
    <w:pPr>
      <w:spacing w:line="560" w:lineRule="exact"/>
      <w:ind w:firstLine="894" w:firstLineChars="200"/>
      <w:outlineLvl w:val="7"/>
    </w:pPr>
    <w:rPr>
      <w:rFonts w:ascii="Times New Roman" w:hAnsi="Times New Roman" w:eastAsia="仿宋_GB2312" w:cs="仿宋_GB2312"/>
      <w:sz w:val="32"/>
      <w:szCs w:val="32"/>
    </w:rPr>
  </w:style>
  <w:style w:type="paragraph" w:styleId="10">
    <w:name w:val="heading 9"/>
    <w:next w:val="1"/>
    <w:semiHidden/>
    <w:unhideWhenUsed/>
    <w:qFormat/>
    <w:uiPriority w:val="0"/>
    <w:pPr>
      <w:spacing w:line="560" w:lineRule="exact"/>
      <w:ind w:firstLine="894" w:firstLineChars="200"/>
      <w:outlineLvl w:val="8"/>
    </w:pPr>
    <w:rPr>
      <w:rFonts w:ascii="Times New Roman" w:hAnsi="Times New Roman" w:eastAsia="仿宋_GB2312" w:cs="仿宋_GB2312"/>
      <w:sz w:val="32"/>
      <w:szCs w:val="32"/>
    </w:rPr>
  </w:style>
  <w:style w:type="character" w:default="1" w:styleId="17">
    <w:name w:val="Default Paragraph Font"/>
    <w:semiHidden/>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line="560" w:lineRule="exact"/>
      <w:ind w:firstLine="630" w:firstLineChars="200"/>
      <w:jc w:val="both"/>
    </w:pPr>
    <w:rPr>
      <w:rFonts w:ascii="Times New Roman" w:hAnsi="Times New Roman" w:eastAsia="仿宋_GB2312" w:cs="仿宋_GB2312"/>
      <w:spacing w:val="-6"/>
      <w:sz w:val="32"/>
      <w:szCs w:val="32"/>
    </w:rPr>
  </w:style>
  <w:style w:type="paragraph" w:styleId="12">
    <w:name w:val="footer"/>
    <w:basedOn w:val="1"/>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Subtitle"/>
    <w:qFormat/>
    <w:uiPriority w:val="0"/>
    <w:pPr>
      <w:spacing w:beforeLines="0" w:beforeAutospacing="0" w:afterLines="0" w:afterAutospacing="0" w:line="720" w:lineRule="exact"/>
      <w:jc w:val="center"/>
      <w:outlineLvl w:val="9"/>
    </w:pPr>
    <w:rPr>
      <w:rFonts w:ascii="Times New Roman" w:hAnsi="Times New Roman" w:eastAsia="仿宋_GB2312" w:cs="仿宋_GB2312"/>
      <w:kern w:val="28"/>
      <w:sz w:val="32"/>
      <w:szCs w:val="32"/>
    </w:rPr>
  </w:style>
  <w:style w:type="paragraph" w:styleId="15">
    <w:name w:val="Title"/>
    <w:qFormat/>
    <w:uiPriority w:val="0"/>
    <w:pPr>
      <w:spacing w:line="720" w:lineRule="exact"/>
      <w:jc w:val="center"/>
      <w:outlineLvl w:val="9"/>
    </w:pPr>
    <w:rPr>
      <w:rFonts w:ascii="方正小标宋简体" w:hAnsi="方正小标宋简体" w:eastAsia="方正小标宋简体" w:cs="方正小标宋简体"/>
      <w:sz w:val="44"/>
      <w:szCs w:val="44"/>
    </w:rPr>
  </w:style>
  <w:style w:type="character" w:customStyle="1" w:styleId="18">
    <w:name w:val="标题 3 Char"/>
    <w:link w:val="4"/>
    <w:qFormat/>
    <w:uiPriority w:val="0"/>
    <w:rPr>
      <w:rFonts w:ascii="Times New Roman" w:hAnsi="Times New Roman" w:eastAsia="仿宋_GB2312" w:cs="仿宋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2146</Words>
  <Characters>2164</Characters>
  <Lines>0</Lines>
  <Paragraphs>0</Paragraphs>
  <TotalTime>0</TotalTime>
  <ScaleCrop>false</ScaleCrop>
  <LinksUpToDate>false</LinksUpToDate>
  <CharactersWithSpaces>2164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2026-04-16T07:44:00Z</dcterms:created>
  <dc:creator>ROG</dc:creator>
  <cp:lastModifiedBy>曾嘉 15332140501</cp:lastModifiedBy>
  <dcterms:modified xsi:type="dcterms:W3CDTF">2026-04-21T06:15:43Z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eyJoZGlkIjoiZWFmYTcyMmNlZDcwOTM0ZDY5MjhmMTU2MzJkMGVjNDQiLCJ1c2VySWQiOiIxNTI5MTk0NDM4In0=</vt:lpwstr>
  </property>
  <property fmtid="{D5CDD505-2E9C-101B-9397-08002B2CF9AE}" pid="4" name="ICV">
    <vt:lpwstr>55E2B58DDB2B421380847EEB9DA6CAFD_12</vt:lpwstr>
  </property>
</Properties>
</file>